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też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Wskazanie priorytetów projektu, aby ewentualnie etapować projekt i zmieścić się w budżecie 1 mln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 48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Tęczowa bez szyn - etap I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Projekt ma na celu usunięcie szyn z jedni ulicy Tęczowej. W pierwszym etapie usunięcie obejmie okolice skrzyżowania z ulicą Zdrową, gdzie szyny stwarzają największe niebezpieczeństwo dla kierowców, rowerzystów i pieszych.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W ramach projektu zostaną wyjęte stare szyny tramwajowe i uzupełniona zostanie kostka brukowa. Jako kolejny priorytet (w miarę dostępności budżetu), przełożona zostanie kostka brukowa, aby wyrównać jezdnię. Jeśli budżet pozwoli, skrzyżowanie ze Zdrową zostanie wyniesione wraz z powierzchnią przejść sugerowanych, aby zwiększyć bezpieczeństwo użytkowników ruchu oraz skorygowane zostaną krawężniki - przełożone w ślad obecnych linii krawędziowych, a odzyskane miejsce stanie się zieleńcami z zielenią niską.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Odnosząc się do oceny projektu, prawdą jest, że ulica Tęczowa jest stara i wymaga gruntownej przebudowy, jednak na liście priorytetów inwestycyjnych jest dość daleko (zwłaszcza na tym fragmencie) i nie należy spodziewać się jej remontu w ciągu najbliższych kilkunastu-kilkudziesięciu lat. Remont wraz z sieciami podziemnymi to koszt kilkudziesięciu milionów złotych, które zapewne w pierwszej kolejności przeznaczone zostaną i tak na bardziej obciążony ruchem fragment Tęczowej od pl. Orląt Lwowskich do Szpitalnej. Usunięcie szyn jest bardziej konkretnym i osiągalnym działaniem, które można podjąć teraz, bez konieczności oczekiwania na długotrwałą i kosztowną przebudowę, stąd nadal brak tych elementów w projekcie.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Priorytetyzacja zadań w ramach projektu do 1 mln zł: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Usunięcie szyn i wypełnienie kostką brukową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Wyrównanie jezdni poprzez przełożenie kostki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Wyniesienie skrzyżowania wraz z przejściami sugerowanymi (strefa uspokojonego ruchu nie wymaga specjalnego oznakowania wyniesień)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Przesunięcie krawężników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Urządzenie zieleńców</w:t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1qBL3Q/odjpoQSCbl/Kt5m1u+A==">CgMxLjAyCGguZ2pkZ3hzOAByITFDaVFIaktSa2lKTnhBaXVRV29ET2poUWtlT3d2eUxKNg==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