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Wroclaw , dn. 14 lutego 2022 r.</w:t>
      </w:r>
    </w:p>
    <w:p w:rsidR="00000000" w:rsidDel="00000000" w:rsidP="00000000" w:rsidRDefault="00000000" w:rsidRPr="00000000" w14:paraId="00000002">
      <w:pPr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PROJEKT BUDŻETU OBYWATELSKIEGO </w:t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- DOMKI DLA JEŻY -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Dane projektu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Skrócony opis projektu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projektu jest polepszenie warunków bytowych jeży żyjących na terenie Miasta poprzez wybudowanie dla nich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domków.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Poziom zgłaszanego projektu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Domki dla jeży są inicjatywą o charakterze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dzielnicowym.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Potencjalnymi odbiorcami projektu mają być zwierzęta, a także społeczność lokalna.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Kategoriami tematycznymi projektu są edukacja, zwierzęta jak i ochrona środowiska.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Lokalizacja zgłaszanego projektu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Miejsca wybrane na zainstalowanie domków dla jeży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709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Park Zachodni</w:t>
      </w:r>
    </w:p>
    <w:p w:rsidR="00000000" w:rsidDel="00000000" w:rsidP="00000000" w:rsidRDefault="00000000" w:rsidRPr="00000000" w14:paraId="0000000F">
      <w:pPr>
        <w:spacing w:line="360" w:lineRule="auto"/>
        <w:ind w:left="709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https://maps.app.goo.gl/SsqSnVfyYTuWvWht8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Harmonogram działań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Realizacja projektu nastąpić ma w roku 2022 w następujących etapach: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projektu pod inwestycję tj. pod teren;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uprzątnięcie i przygotowanie terenu;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wyznaczenie ekostref w miejscach, w których odnotowano występowanie jeży;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zakup materiałów i montaż domków;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ustawienie tablicy informacyjnej;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monitorowanie powstałych domków.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 projektu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przedmiotowego projektu mają powstać domki dla jeży, które umieszczone zostaną w obszarach, na których jeże występują. Wybrane miejsca zostaną wyłączone z pielęgnacji zieleni i pozostaną niezagrabione – a obszar ten zostanie oznaczony tabliczką informacyjną.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Domki dla jeży będą musiały spełniać potrzeby tego gatunku w zakresie schronienia, w odpowiedni sposób zabezpieczając je przed zimnem i opadami atmosferycznymi, a przy tym być atrakcyjne na tyle, by stanowić ozdobę naszego miasta.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 realizacji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Gwałtowna urbanizacja, a co za tym idzie – znaczny wzrost gęstości zabudowy, a nadto powszechnie stosowane środki ochrony roślin czy niszczenie naturalnych ostoi i siedlisk – w sposób dramatyczny wpływają na życia naszych małych, kolczastych przyjacieli.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Pamiętając o tym, że jeże są pożytecznymi zwierzętami, zmniejszającymi ilość szkodników - koniecznym jest zapewnienie im miejsca, gdzie będą miały szansę przezimować. Zwłaszcza, że wszystkie gatunki jeży występujące w Polsce podlegają ochronie częściowej. Oznacza to, że w stosunku do jeża obowiązuje zakaz umyślnego płoszenia i niepokojenia.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Niestety, w mieście zwierzęta te rzadko dożywają dwóch lat, podczas gdy w sprzyjających warunkach potrafią bytować około dekady.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Efekty realizacji projektu będą ogólnodostępne dla wszystkich mieszkańców. Dodatkowo samo pojawienie się domków zwiększy świadomość społeczeństwa i wpłynie na edukację przyrodniczą także wśród najmłodszych pokoleń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360" w:lineRule="auto"/>
        <w:ind w:left="7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Kosztorys</w:t>
      </w:r>
    </w:p>
    <w:tbl>
      <w:tblPr>
        <w:tblStyle w:val="Table1"/>
        <w:tblW w:w="95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"/>
        <w:gridCol w:w="5779"/>
        <w:gridCol w:w="3171"/>
        <w:tblGridChange w:id="0">
          <w:tblGrid>
            <w:gridCol w:w="564"/>
            <w:gridCol w:w="5779"/>
            <w:gridCol w:w="3171"/>
          </w:tblGrid>
        </w:tblGridChange>
      </w:tblGrid>
      <w:tr>
        <w:trPr>
          <w:cantSplit w:val="0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Część składowa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Łączny koszt [zł]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Opracowanie projektu na całość inwestycji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Zakup materiałów i montaż domków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5.000,00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Ustawienie tablic informacyjnych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2.000,00</w:t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Kwota łączna projektu – 5.000,00 złotych</w:t>
      </w:r>
    </w:p>
    <w:p w:rsidR="00000000" w:rsidDel="00000000" w:rsidP="00000000" w:rsidRDefault="00000000" w:rsidRPr="00000000" w14:paraId="00000035">
      <w:pPr>
        <w:spacing w:after="0"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731" w:left="1191" w:right="119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/>
  <w:font w:name="Book Antiqua"/>
  <w:font w:name="Lato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55.0" w:type="dxa"/>
      <w:jc w:val="left"/>
      <w:tblInd w:w="-3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010"/>
      <w:gridCol w:w="1245"/>
      <w:tblGridChange w:id="0">
        <w:tblGrid>
          <w:gridCol w:w="9010"/>
          <w:gridCol w:w="1245"/>
        </w:tblGrid>
      </w:tblGridChange>
    </w:tblGrid>
    <w:tr>
      <w:trPr>
        <w:cantSplit w:val="0"/>
        <w:trHeight w:val="7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9">
          <w:pPr>
            <w:spacing w:after="0" w:line="264" w:lineRule="auto"/>
            <w:ind w:left="-108" w:right="-251" w:firstLine="0"/>
            <w:rPr>
              <w:rFonts w:ascii="Lato Black" w:cs="Lato Black" w:eastAsia="Lato Black" w:hAnsi="Lato Black"/>
              <w:b w:val="1"/>
              <w:color w:val="ff000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ff0000"/>
              <w:sz w:val="16"/>
              <w:szCs w:val="16"/>
              <w:rtl w:val="0"/>
            </w:rPr>
            <w:t xml:space="preserve">Pomorska Fundacja Bracia Mniejsi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after="0" w:line="264" w:lineRule="auto"/>
            <w:ind w:left="-108" w:right="-251" w:firstLine="0"/>
            <w:rPr>
              <w:sz w:val="15"/>
              <w:szCs w:val="15"/>
            </w:rPr>
          </w:pPr>
          <w:r w:rsidDel="00000000" w:rsidR="00000000" w:rsidRPr="00000000">
            <w:rPr>
              <w:color w:val="231f20"/>
              <w:sz w:val="15"/>
              <w:szCs w:val="15"/>
              <w:rtl w:val="0"/>
            </w:rPr>
            <w:t xml:space="preserve">Czaple 100</w:t>
          </w:r>
          <w:r w:rsidDel="00000000" w:rsidR="00000000" w:rsidRPr="00000000">
            <w:rPr>
              <w:color w:val="231f20"/>
              <w:sz w:val="12"/>
              <w:szCs w:val="12"/>
              <w:rtl w:val="0"/>
            </w:rPr>
            <w:t xml:space="preserve"> </w:t>
          </w:r>
          <w:r w:rsidDel="00000000" w:rsidR="00000000" w:rsidRPr="00000000">
            <w:rPr>
              <w:color w:val="ff0000"/>
              <w:sz w:val="15"/>
              <w:szCs w:val="15"/>
              <w:rtl w:val="0"/>
            </w:rPr>
            <w:t xml:space="preserve">|</w:t>
          </w:r>
          <w:r w:rsidDel="00000000" w:rsidR="00000000" w:rsidRPr="00000000">
            <w:rPr>
              <w:color w:val="0070c0"/>
              <w:sz w:val="15"/>
              <w:szCs w:val="15"/>
              <w:rtl w:val="0"/>
            </w:rPr>
            <w:t xml:space="preserve">  </w:t>
          </w:r>
          <w:r w:rsidDel="00000000" w:rsidR="00000000" w:rsidRPr="00000000">
            <w:rPr>
              <w:color w:val="231f20"/>
              <w:sz w:val="15"/>
              <w:szCs w:val="15"/>
              <w:rtl w:val="0"/>
            </w:rPr>
            <w:t xml:space="preserve">80-298 Gdańsk </w:t>
          </w:r>
          <w:r w:rsidDel="00000000" w:rsidR="00000000" w:rsidRPr="00000000">
            <w:rPr>
              <w:rFonts w:ascii="Lato Black" w:cs="Lato Black" w:eastAsia="Lato Black" w:hAnsi="Lato Black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color w:val="ff0000"/>
              <w:sz w:val="15"/>
              <w:szCs w:val="15"/>
              <w:rtl w:val="0"/>
            </w:rPr>
            <w:t xml:space="preserve">|</w:t>
          </w:r>
          <w:r w:rsidDel="00000000" w:rsidR="00000000" w:rsidRPr="00000000">
            <w:rPr>
              <w:color w:val="231f20"/>
              <w:sz w:val="12"/>
              <w:szCs w:val="12"/>
              <w:rtl w:val="0"/>
            </w:rPr>
            <w:t xml:space="preserve"> </w:t>
          </w:r>
          <w:r w:rsidDel="00000000" w:rsidR="00000000" w:rsidRPr="00000000">
            <w:rPr>
              <w:color w:val="000000"/>
              <w:sz w:val="15"/>
              <w:szCs w:val="15"/>
              <w:u w:val="none"/>
              <w:rtl w:val="0"/>
            </w:rPr>
            <w:t xml:space="preserve">NIP: 583-327-42-21</w:t>
          </w:r>
          <w:r w:rsidDel="00000000" w:rsidR="00000000" w:rsidRPr="00000000">
            <w:rPr>
              <w:rFonts w:ascii="Lato Black" w:cs="Lato Black" w:eastAsia="Lato Black" w:hAnsi="Lato Black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color w:val="ff0000"/>
              <w:sz w:val="15"/>
              <w:szCs w:val="15"/>
              <w:rtl w:val="0"/>
            </w:rPr>
            <w:t xml:space="preserve">|</w:t>
          </w:r>
          <w:r w:rsidDel="00000000" w:rsidR="00000000" w:rsidRPr="00000000">
            <w:rPr>
              <w:color w:val="000000"/>
              <w:sz w:val="15"/>
              <w:szCs w:val="15"/>
              <w:u w:val="none"/>
              <w:rtl w:val="0"/>
            </w:rPr>
            <w:t xml:space="preserve"> KRS nr 0000705942</w:t>
          </w:r>
          <w:r w:rsidDel="00000000" w:rsidR="00000000" w:rsidRPr="00000000">
            <w:rPr>
              <w:rFonts w:ascii="Lato Black" w:cs="Lato Black" w:eastAsia="Lato Black" w:hAnsi="Lato Black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color w:val="ff0000"/>
              <w:sz w:val="15"/>
              <w:szCs w:val="15"/>
              <w:rtl w:val="0"/>
            </w:rPr>
            <w:t xml:space="preserve">|</w:t>
          </w:r>
          <w:r w:rsidDel="00000000" w:rsidR="00000000" w:rsidRPr="00000000">
            <w:rPr>
              <w:color w:val="000000"/>
              <w:sz w:val="15"/>
              <w:szCs w:val="15"/>
              <w:u w:val="none"/>
              <w:rtl w:val="0"/>
            </w:rPr>
            <w:t xml:space="preserve"> </w:t>
          </w:r>
          <w:r w:rsidDel="00000000" w:rsidR="00000000" w:rsidRPr="00000000">
            <w:rPr>
              <w:color w:val="231f20"/>
              <w:sz w:val="15"/>
              <w:szCs w:val="15"/>
              <w:rtl w:val="0"/>
            </w:rPr>
            <w:t xml:space="preserve">nr konta:  86 1050 1764 1000 0090 3140 8256 </w:t>
          </w:r>
          <w:r w:rsidDel="00000000" w:rsidR="00000000" w:rsidRPr="00000000">
            <w:rPr>
              <w:rFonts w:ascii="Lato Black" w:cs="Lato Black" w:eastAsia="Lato Black" w:hAnsi="Lato Black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color w:val="ff0000"/>
              <w:sz w:val="15"/>
              <w:szCs w:val="15"/>
              <w:rtl w:val="0"/>
            </w:rPr>
            <w:t xml:space="preserve">|</w:t>
          </w:r>
          <w:r w:rsidDel="00000000" w:rsidR="00000000" w:rsidRPr="00000000">
            <w:rPr>
              <w:color w:val="000000"/>
              <w:sz w:val="15"/>
              <w:szCs w:val="15"/>
              <w:u w:val="none"/>
              <w:rtl w:val="0"/>
            </w:rPr>
            <w:t xml:space="preserve"> </w:t>
          </w:r>
          <w:hyperlink r:id="rId1">
            <w:r w:rsidDel="00000000" w:rsidR="00000000" w:rsidRPr="00000000">
              <w:rPr>
                <w:color w:val="000000"/>
                <w:sz w:val="15"/>
                <w:szCs w:val="15"/>
                <w:u w:val="none"/>
                <w:rtl w:val="0"/>
              </w:rPr>
              <w:t xml:space="preserve">www.bracia-mniejsi.pl</w:t>
            </w:r>
          </w:hyperlink>
          <w:r w:rsidDel="00000000" w:rsidR="00000000" w:rsidRPr="00000000">
            <w:rPr>
              <w:rFonts w:ascii="Lato Black" w:cs="Lato Black" w:eastAsia="Lato Black" w:hAnsi="Lato Black"/>
              <w:b w:val="1"/>
              <w:sz w:val="16"/>
              <w:szCs w:val="16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spacing w:after="0" w:line="264" w:lineRule="auto"/>
            <w:ind w:left="-108" w:right="-251" w:firstLine="0"/>
            <w:rPr>
              <w:sz w:val="15"/>
              <w:szCs w:val="1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3C">
          <w:pPr>
            <w:spacing w:after="0" w:before="6" w:lineRule="auto"/>
            <w:ind w:left="-249" w:right="-251" w:firstLine="0"/>
            <w:jc w:val="center"/>
            <w:rPr>
              <w:b w:val="1"/>
              <w:color w:val="f05133"/>
              <w:sz w:val="16"/>
              <w:szCs w:val="16"/>
            </w:rPr>
          </w:pPr>
          <w:r w:rsidDel="00000000" w:rsidR="00000000" w:rsidRPr="00000000">
            <w:rPr>
              <w:b w:val="1"/>
              <w:color w:val="f05133"/>
              <w:sz w:val="16"/>
              <w:szCs w:val="16"/>
            </w:rPr>
            <w:drawing>
              <wp:inline distB="0" distT="0" distL="0" distR="0">
                <wp:extent cx="374072" cy="37407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72" cy="3740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spacing w:line="264" w:lineRule="auto"/>
      <w:ind w:right="-397"/>
      <w:rPr>
        <w:rFonts w:ascii="Calibri" w:cs="Calibri" w:eastAsia="Calibri" w:hAnsi="Calibri"/>
        <w:b w:val="1"/>
        <w:color w:val="f05133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-1644" w:firstLine="4536"/>
      <w:jc w:val="center"/>
      <w:rPr>
        <w:rFonts w:ascii="Calibri" w:cs="Calibri" w:eastAsia="Calibri" w:hAnsi="Calibri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Rule="auto"/>
      <w:jc w:val="center"/>
      <w:rPr>
        <w:color w:val="ff0000"/>
        <w:sz w:val="16"/>
        <w:szCs w:val="16"/>
      </w:rPr>
    </w:pPr>
    <w:hyperlink r:id="rId1">
      <w:r w:rsidDel="00000000" w:rsidR="00000000" w:rsidRPr="00000000">
        <w:rPr>
          <w:color w:val="ff0000"/>
          <w:sz w:val="15"/>
          <w:szCs w:val="15"/>
          <w:u w:val="none"/>
          <w:rtl w:val="0"/>
        </w:rPr>
        <w:t xml:space="preserve">www.bracia-mniejsi.pl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line="264" w:lineRule="auto"/>
      <w:ind w:left="-340" w:right="-397" w:firstLine="0"/>
      <w:rPr>
        <w:rFonts w:ascii="Calibri" w:cs="Calibri" w:eastAsia="Calibri" w:hAnsi="Calibri"/>
        <w:b w:val="1"/>
        <w:color w:val="f05133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349"/>
        <w:tab w:val="left" w:pos="7717"/>
      </w:tabs>
      <w:spacing w:after="120" w:before="36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3257" cy="5591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57" cy="5591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762"/>
        <w:tab w:val="center" w:pos="5174"/>
        <w:tab w:val="left" w:pos="5631"/>
      </w:tabs>
      <w:spacing w:after="200" w:before="36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3257" cy="55917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57" cy="5591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ido.net.pl" TargetMode="External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mido.net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