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95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Załacznik Nr 3 do uchwały Nr LXII/1440/18</w:t>
      </w:r>
    </w:p>
    <w:p w:rsidR="00000000" w:rsidDel="00000000" w:rsidP="00000000" w:rsidRDefault="00000000" w:rsidRPr="00000000" w14:paraId="00000002">
      <w:pPr>
        <w:spacing w:after="0" w:line="240" w:lineRule="auto"/>
        <w:ind w:left="495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3">
      <w:pPr>
        <w:spacing w:after="0" w:line="240" w:lineRule="auto"/>
        <w:ind w:left="4956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2020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Informacje o projekcie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 </w:t>
      </w:r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highlight w:val="white"/>
          <w:rtl w:val="0"/>
        </w:rPr>
        <w:t xml:space="preserve">19/4, AR-18 Obręb Południe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27"/>
        <w:gridCol w:w="1253"/>
        <w:tblGridChange w:id="0">
          <w:tblGrid>
            <w:gridCol w:w="7927"/>
            <w:gridCol w:w="1253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3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Ilość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Ławki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6-8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2.Słupki do zawieszenia hamaków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ok. 20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3.Kosze na odpady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4.Ogrodzenie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218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5.Zadaszona budka - wiata chroniąca przed deszczem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31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6.Bramka z tzw. podwójnym wejściem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31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7.Oświetlenie parkowe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8.Przeszkody z konarów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9.Równoważnia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10.Opony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11.Dodatkowe nasadzenia krzewów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ok.100-150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12.Remont ścieżek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highlight w:val="white"/>
          <w:rtl w:val="0"/>
        </w:rPr>
        <w:t xml:space="preserve">Koncepcja obejmuje zagospodarowanie terenu osiedlowego w celu rewitalizacji oraz udostępnienia terenu mieszkańcom osiedla i nie tylko. Pomysł zakłada wytyczenie parku dla psów z ogrodzeniem oraz wyposażenia z ekologicznych elementów typu konary, opony z tzw. odzysku. Ważnym aspektem jest również zadbanie o doświetlenie obszaru, uzupełnienie nasadzeń drzew i krzewów (np. w celu zasłonięcia istniejącego miejsca na odpady), wymiana nawierzchni ścieżek oraz utworzenie części służącej mieszkańcom wyposażoną o ławki, miejsce na rozwieszenie hamaków oraz kosze na odpady.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after="0" w:line="240" w:lineRule="auto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------------------</w:t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*niepotrzebne skreślić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geoportal.wroclaw.pl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