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jc w:val="center"/>
      </w:pPr>
      <w:r w:rsidDel="00000000" w:rsidR="00000000" w:rsidRPr="00000000">
        <w:rPr>
          <w:smallCaps w:val="0"/>
          <w:sz w:val="24"/>
          <w:szCs w:val="24"/>
          <w:u w:val="none"/>
          <w:rtl w:val="0"/>
        </w:rPr>
        <w:t xml:space="preserve">Formularz poprawkowy projektów</w:t>
      </w:r>
    </w:p>
    <w:p w:rsidR="00000000" w:rsidDel="00000000" w:rsidP="00000000" w:rsidRDefault="00000000" w:rsidRPr="00000000">
      <w:pPr>
        <w:pStyle w:val="Heading1"/>
        <w:contextualSpacing w:val="0"/>
        <w:jc w:val="center"/>
      </w:pPr>
      <w:r w:rsidDel="00000000" w:rsidR="00000000" w:rsidRPr="00000000">
        <w:rPr>
          <w:smallCaps w:val="0"/>
          <w:sz w:val="24"/>
          <w:szCs w:val="24"/>
          <w:u w:val="none"/>
          <w:rtl w:val="0"/>
        </w:rPr>
        <w:t xml:space="preserve">Wrocławskiego Budżetu Obywatelskiego 2016</w:t>
      </w:r>
    </w:p>
    <w:p w:rsidR="00000000" w:rsidDel="00000000" w:rsidP="00000000" w:rsidRDefault="00000000" w:rsidRPr="00000000">
      <w:pPr>
        <w:pStyle w:val="Title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4" w:before="0" w:line="32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4" w:before="0" w:line="32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1. Informacje o projekcie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4" w:line="320" w:lineRule="auto"/>
        <w:ind w:left="720" w:hanging="360"/>
        <w:contextualSpacing w:val="1"/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Numer projektu: 598</w:t>
      </w:r>
    </w:p>
    <w:p w:rsidR="00000000" w:rsidDel="00000000" w:rsidP="00000000" w:rsidRDefault="00000000" w:rsidRPr="00000000">
      <w:pPr>
        <w:spacing w:after="4" w:line="32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4" w:line="320" w:lineRule="auto"/>
        <w:ind w:left="720" w:hanging="360"/>
        <w:contextualSpacing w:val="1"/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Nazwa projektu:</w:t>
      </w: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 (wypełnić tylko w wypadku zmiany/doprecyzowania nazwy projektu)</w:t>
      </w:r>
    </w:p>
    <w:p w:rsidR="00000000" w:rsidDel="00000000" w:rsidP="00000000" w:rsidRDefault="00000000" w:rsidRPr="00000000">
      <w:pPr>
        <w:spacing w:after="4" w:line="320" w:lineRule="auto"/>
        <w:ind w:left="360" w:firstLine="0"/>
        <w:contextualSpacing w:val="0"/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WIS - Wrocławska Informacja Smogowa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4" w:line="320" w:lineRule="auto"/>
        <w:ind w:left="36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4" w:line="320" w:lineRule="auto"/>
        <w:ind w:left="720" w:hanging="360"/>
        <w:contextualSpacing w:val="1"/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Lokalizacja projektu:</w:t>
      </w: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 (wypełnić tylko w wypadku zmiany lokalizacji projektu)</w:t>
      </w:r>
    </w:p>
    <w:p w:rsidR="00000000" w:rsidDel="00000000" w:rsidP="00000000" w:rsidRDefault="00000000" w:rsidRPr="00000000">
      <w:pPr>
        <w:spacing w:after="4" w:line="320" w:lineRule="auto"/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adres:</w:t>
      </w:r>
    </w:p>
    <w:p w:rsidR="00000000" w:rsidDel="00000000" w:rsidP="00000000" w:rsidRDefault="00000000" w:rsidRPr="00000000">
      <w:pPr>
        <w:spacing w:after="4" w:line="32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4" w:line="320" w:lineRule="auto"/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numer geodezyjny działki (na podstawie</w:t>
      </w:r>
      <w:r w:rsidDel="00000000" w:rsidR="00000000" w:rsidRPr="00000000">
        <w:rPr>
          <w:smallCaps w:val="0"/>
          <w:rtl w:val="0"/>
        </w:rPr>
        <w:t xml:space="preserve"> </w:t>
      </w:r>
      <w:hyperlink r:id="rId5">
        <w:r w:rsidDel="00000000" w:rsidR="00000000" w:rsidRPr="00000000">
          <w:rPr>
            <w:rFonts w:ascii="Arial" w:cs="Arial" w:eastAsia="Arial" w:hAnsi="Arial"/>
            <w:smallCaps w:val="0"/>
            <w:sz w:val="16"/>
            <w:szCs w:val="16"/>
            <w:rtl w:val="0"/>
          </w:rPr>
          <w:t xml:space="preserve">www.geoportal.wroclaw.pl</w:t>
        </w:r>
      </w:hyperlink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):</w:t>
      </w:r>
    </w:p>
    <w:p w:rsidR="00000000" w:rsidDel="00000000" w:rsidP="00000000" w:rsidRDefault="00000000" w:rsidRPr="00000000">
      <w:pPr>
        <w:spacing w:after="4" w:line="32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4" w:line="320" w:lineRule="auto"/>
        <w:ind w:left="36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4" w:line="32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2. Ustosunkowanie się do wyników weryfikacji lub opis zmian</w:t>
      </w:r>
    </w:p>
    <w:p w:rsidR="00000000" w:rsidDel="00000000" w:rsidP="00000000" w:rsidRDefault="00000000" w:rsidRPr="00000000">
      <w:pPr>
        <w:spacing w:after="4" w:line="32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(Lider może potwierdzić to co otrzymał w wynikach weryfikacji lub zaproponować zmiany. Do końca sierpnia 2016 r. zostaną one zweryfikowane przez jednostki merytoryczne Urzędu Miejskiego. O wyniku weryfikacji lider zostanie powiadomiony w formie informacji o konsultacjach/głosowaniu nad projektami do WBO2016 opublikowanej w Biuletynie Informacji Publicznej.)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ab/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Jako liderzy projektów WBO 2016 o numerze 64 “Wiem, czym oddycham” i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numerze 598 "WIS" - Wrocławska Informacja Smogowa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System publicznego monitoringu i informacji o stanie jakości powietrza we Wrocławiu - ze względu na podobny zakres tychże projektów wnos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imy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o ich połączenie oraz o ponowną weryfikację, gdyż nie zgadzamy się z negatywną oceną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złożonych przez nas wniosków. 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 zakresie połączonego projektu ma się zawierać instalacja zarówno stacji badawczych opisanych  w projekcie 598, jak i tablic informacyjnych umieszczonych w przestrzeni publicznej, na które dane będą spływały automatycznie i na bieżąco (podobny system posiada Gmina Kraków). Obecnie każda stacja monitoringowa we Wrocławiu pokazuje inne parametry, przez co nie oddaje rzeczywistego stanu zanieczyszczenia w mieście. 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Pragniemy zauważyć, że złożony wniosek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nie łami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żadnego z kryteriów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które muszą spełnić projekty składane do WBO, a które ujęte są w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Regulamin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ie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Wrocławskiego Budżetu Obywatelskiego.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Projekt jest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powszechn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realizowany na terenie należącym do gminy i nie jest sprzeczny z powszechnie znanymi strategiami i programami miasta Wrocławia. O jego realizacji bądź nie winni więc zdecydować w opinii autorów mieszkańcy Wrocławia.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Informacja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, że „za organizację i funkcjonowanie systemu monitoringu i oceny jakości powietrza odpowiedzialny jest Wojewódzki Inspektor Ochrony Środowiska” nie powinna zdaniem autorów projekt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ów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implikować automatycznego ich odrzucenia. Regulamin WBO nie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zabrania zgłaszania projektów, które mają za zadania wesprzeć i rozszerzyć swoim zasięgiem zadania realizowane przez instytucje wojewódzkie.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Monitoring WIO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Ś dostępny jest jedynie dla osób zainteresowanych, które dodatkowo mają dostęp do internetu. Nie można go nazwać powszechnym. Zgłoszony projekt dzięki umieszczeniu tablic w przestrzeni publicznej zapobiegałby wykluczeniu informacyjnemu osób szczególnie narażonych na działanie smogu (dzieci, seniorzy), a niekorzystających z internetu czy aplikacji mobilnych.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br w:type="textWrapping"/>
        <w:t xml:space="preserve">Dodat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kowo uzasadnienie odrzucenia projektu 598 powieleniem funkcji przypisanych do programu “Asystent Mieszkańca” jest błędne, gdyż program ten nie zakłada budowy automatycznych stacji monitorujących stan jakości powietrza, a jedynie pokazywanie bliżej nieokreślonych danych na ”tablicach multimedialnych” montowanych na przystankach MPK. 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Nawet jeśli “Asystent Mieszkańca” będzie pokazywał na tablicach multimedialnych dane, które zbiera obecnie WIOŚ, to w opinii autorów projektów są one niewystarczające, przede wszystkim w odniesieniu do SO2 -  związków trujących wydzielanych ze spalinami samochodów. A te substancje mają monitorować stacje wpisane w projekcie WIS. 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Ponadto należy zauważyć, że istniejące przepisy nie przeszkodziły Gminom Kraków i Lublin w stworzeniu w swoich miastach szeregu stacji z tablicami informacyjnymi ze środków własnych.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3. Uwagi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Formalnym liderem połączonego projektu ustanawiamy wnioskodawcę projektu #598, prosimy o zachowanie dla projektu nazwy “WIS - Wrocławska Informacja Smogowa” i przyporządkowanie mu numeru 64.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Dodatkowo informujemy, że projekt uzyskał oficjalne wsparcie organizacji miejskich, w tym: Akcji Miasto, Towarzystwa Upiększania Miasta Wrocławia, Fundacji Ekorozwoju, oraz społecznej inicjatywy na rzecz czystego powietrza “Dolnośląski Alarm Smogowy”.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/>
      <w:pgMar w:bottom="1417" w:top="1134" w:left="1134" w:right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spacing w:after="0" w:before="0" w:line="240" w:lineRule="auto"/>
      <w:ind w:left="0" w:right="0" w:firstLine="0"/>
      <w:contextualSpacing w:val="0"/>
      <w:jc w:val="left"/>
    </w:pPr>
    <w:fldSimple w:instr="PAGE" w:fldLock="0" w:dirty="0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r>
    </w:fldSimple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lowerLetter"/>
      <w:lvlText w:val="%1)"/>
      <w:lvlJc w:val="left"/>
      <w:pPr>
        <w:ind w:left="720" w:firstLine="7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4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2.%3."/>
      <w:lvlJc w:val="right"/>
      <w:pPr>
        <w:ind w:left="2160" w:firstLine="2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2.%3.%4."/>
      <w:lvlJc w:val="left"/>
      <w:pPr>
        <w:ind w:left="2880" w:firstLine="28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6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50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7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4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1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4" w:line="320" w:lineRule="auto"/>
      <w:contextualSpacing w:val="1"/>
    </w:pPr>
    <w:rPr>
      <w:rFonts w:ascii="Arial" w:cs="Arial" w:eastAsia="Arial" w:hAnsi="Arial"/>
      <w:b w:val="1"/>
      <w:smallCaps w:val="0"/>
      <w:sz w:val="20"/>
      <w:szCs w:val="20"/>
      <w:u w:val="singl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contextualSpacing w:val="1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contextualSpacing w:val="1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contextualSpacing w:val="1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contextualSpacing w:val="1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contextualSpacing w:val="1"/>
      <w:jc w:val="center"/>
    </w:pPr>
    <w:rPr>
      <w:b w:val="1"/>
      <w:smallCaps w:val="0"/>
      <w:sz w:val="28"/>
      <w:szCs w:val="28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contextualSpacing w:val="1"/>
      <w:jc w:val="center"/>
    </w:pPr>
    <w:rPr>
      <w:rFonts w:ascii="Arial" w:cs="Arial" w:eastAsia="Arial" w:hAnsi="Arial"/>
      <w:i w:val="1"/>
      <w:smallCaps w:val="0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://www.geoportal.wroclaw.pl" TargetMode="External"/><Relationship Id="rId6" Type="http://schemas.openxmlformats.org/officeDocument/2006/relationships/footer" Target="footer1.xml"/></Relationships>
</file>