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C00" w:rsidRPr="00500CE2" w:rsidRDefault="00340C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00CE2">
        <w:rPr>
          <w:rFonts w:ascii="Times New Roman" w:hAnsi="Times New Roman" w:cs="Times New Roman"/>
          <w:sz w:val="22"/>
          <w:szCs w:val="22"/>
        </w:rPr>
        <w:t>projekt</w:t>
      </w:r>
    </w:p>
    <w:p w:rsidR="00340C00" w:rsidRPr="00500CE2" w:rsidRDefault="00340C00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CE2">
        <w:rPr>
          <w:rFonts w:ascii="Times New Roman" w:hAnsi="Times New Roman" w:cs="Times New Roman"/>
          <w:b/>
          <w:bCs/>
          <w:sz w:val="22"/>
          <w:szCs w:val="22"/>
        </w:rPr>
        <w:t>UCHWAŁA Nr ....................</w:t>
      </w: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CE2">
        <w:rPr>
          <w:rFonts w:ascii="Times New Roman" w:hAnsi="Times New Roman" w:cs="Times New Roman"/>
          <w:b/>
          <w:bCs/>
          <w:sz w:val="22"/>
          <w:szCs w:val="22"/>
        </w:rPr>
        <w:t>RADY MIEJSKIEJ WROCŁAWIA</w:t>
      </w: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CE2">
        <w:rPr>
          <w:rFonts w:ascii="Times New Roman" w:hAnsi="Times New Roman" w:cs="Times New Roman"/>
          <w:b/>
          <w:bCs/>
          <w:sz w:val="22"/>
          <w:szCs w:val="22"/>
        </w:rPr>
        <w:t>z dnia ....................... 2016 r.</w:t>
      </w: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40C00" w:rsidRPr="00500CE2" w:rsidRDefault="00340C0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00CE2">
        <w:rPr>
          <w:rFonts w:ascii="Times New Roman" w:hAnsi="Times New Roman" w:cs="Times New Roman"/>
          <w:b/>
          <w:bCs/>
          <w:sz w:val="22"/>
          <w:szCs w:val="22"/>
        </w:rPr>
        <w:t>w sprawie regulaminu utrzymania czystości i porządku na terenie Wrocławia</w:t>
      </w:r>
    </w:p>
    <w:p w:rsidR="00340C00" w:rsidRPr="00500CE2" w:rsidRDefault="00340C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40C00" w:rsidRPr="00500CE2" w:rsidRDefault="00340C0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340C00" w:rsidRPr="00500CE2" w:rsidRDefault="00340C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Na podstawie art. 18 ust. 2 pkt 15 ustawy z dnia 8 marca 1990 r. o samorządzie gminnym (Dz. U. z 2015 r. poz. 1515 i 1890) w związku z art. 4 ust. 1, 2 i 2a ustawy z dnia 13 września 1996 r. o utrzymaniu czystości i porządku w gminach (Dz. U. z 201</w:t>
      </w:r>
      <w:r w:rsidR="00C639BE">
        <w:rPr>
          <w:rFonts w:ascii="Times New Roman" w:hAnsi="Times New Roman" w:cs="Times New Roman"/>
        </w:rPr>
        <w:t>6</w:t>
      </w:r>
      <w:r w:rsidRPr="00500CE2">
        <w:rPr>
          <w:rFonts w:ascii="Times New Roman" w:hAnsi="Times New Roman" w:cs="Times New Roman"/>
        </w:rPr>
        <w:t xml:space="preserve"> r. poz.</w:t>
      </w:r>
      <w:r w:rsidR="00C639BE">
        <w:rPr>
          <w:rFonts w:ascii="Times New Roman" w:hAnsi="Times New Roman" w:cs="Times New Roman"/>
        </w:rPr>
        <w:t xml:space="preserve"> 250</w:t>
      </w:r>
      <w:r w:rsidRPr="00500CE2">
        <w:rPr>
          <w:rFonts w:ascii="Times New Roman" w:hAnsi="Times New Roman" w:cs="Times New Roman"/>
        </w:rPr>
        <w:t>) Rada Miejska Wrocławia uchwala co następuje: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1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Przepis ogólny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 w:rsidP="001F4B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 xml:space="preserve">§ 1. </w:t>
      </w:r>
      <w:r w:rsidRPr="003C28AE">
        <w:rPr>
          <w:rFonts w:ascii="Times New Roman" w:hAnsi="Times New Roman" w:cs="Times New Roman"/>
        </w:rPr>
        <w:t>Uchwała określa szczegółowe zasady utrzymania czystości i porządku na terenie Wrocławia.</w:t>
      </w:r>
    </w:p>
    <w:p w:rsidR="00500CE2" w:rsidRPr="00500CE2" w:rsidRDefault="00500C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2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Obowiązki i wymagania w zakresie utrzymania czystości i porządku na terenie nieruchomości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>§ 2.</w:t>
      </w:r>
      <w:r w:rsidRPr="00500CE2">
        <w:rPr>
          <w:rFonts w:ascii="Times New Roman" w:hAnsi="Times New Roman" w:cs="Times New Roman"/>
        </w:rPr>
        <w:t xml:space="preserve"> Selektywne zbieranie odpadów komunalnych wytwarzanych na terenie nieruchomości obejmuje co najmniej:</w:t>
      </w:r>
    </w:p>
    <w:p w:rsidR="00340C00" w:rsidRPr="003C28AE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28AE">
        <w:rPr>
          <w:rFonts w:ascii="Times New Roman" w:hAnsi="Times New Roman" w:cs="Times New Roman"/>
        </w:rPr>
        <w:t>papier i tekturę</w:t>
      </w:r>
      <w:r w:rsidR="00DE65C7" w:rsidRPr="003C28AE">
        <w:rPr>
          <w:rFonts w:ascii="Times New Roman" w:hAnsi="Times New Roman" w:cs="Times New Roman"/>
        </w:rPr>
        <w:t>;</w:t>
      </w:r>
    </w:p>
    <w:p w:rsidR="00340C00" w:rsidRPr="00785B6C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B6C">
        <w:rPr>
          <w:rFonts w:ascii="Times New Roman" w:hAnsi="Times New Roman" w:cs="Times New Roman"/>
        </w:rPr>
        <w:t>tworzywa sztuczne;</w:t>
      </w:r>
    </w:p>
    <w:p w:rsidR="00340C00" w:rsidRPr="00785B6C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B6C">
        <w:rPr>
          <w:rFonts w:ascii="Times New Roman" w:hAnsi="Times New Roman" w:cs="Times New Roman"/>
        </w:rPr>
        <w:t>metale;</w:t>
      </w:r>
    </w:p>
    <w:p w:rsidR="00340C00" w:rsidRPr="00785B6C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85B6C">
        <w:rPr>
          <w:rFonts w:ascii="Times New Roman" w:hAnsi="Times New Roman" w:cs="Times New Roman"/>
        </w:rPr>
        <w:t>opakowania wielomateriałowe;</w:t>
      </w:r>
    </w:p>
    <w:p w:rsidR="00340C00" w:rsidRPr="003C28AE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28AE">
        <w:rPr>
          <w:rFonts w:ascii="Times New Roman" w:hAnsi="Times New Roman" w:cs="Times New Roman"/>
        </w:rPr>
        <w:t>szkło;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zużyty sprzęt elektryczny i elektroniczny;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zużyte baterie i akumulatory;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budowlane i rozbiórkowe;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meble i inne odpady wielkogabarytowe;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zielone;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zużyte opony;</w:t>
      </w:r>
    </w:p>
    <w:p w:rsidR="00340C00" w:rsidRPr="00500CE2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przeterminowane leki i chemikalia;</w:t>
      </w:r>
    </w:p>
    <w:p w:rsidR="00340C00" w:rsidRPr="003C28AE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28AE">
        <w:rPr>
          <w:rFonts w:ascii="Times New Roman" w:hAnsi="Times New Roman" w:cs="Times New Roman"/>
        </w:rPr>
        <w:t>termometry rtęciowe;</w:t>
      </w:r>
    </w:p>
    <w:p w:rsidR="00340C00" w:rsidRPr="003C28AE" w:rsidRDefault="00340C0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C28AE">
        <w:rPr>
          <w:rFonts w:ascii="Times New Roman" w:hAnsi="Times New Roman" w:cs="Times New Roman"/>
        </w:rPr>
        <w:t>odzież i tekstylia.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  <w:r w:rsidRPr="00500CE2">
        <w:rPr>
          <w:rFonts w:ascii="Times New Roman" w:hAnsi="Times New Roman" w:cs="Times New Roman"/>
          <w:b/>
          <w:bCs/>
        </w:rPr>
        <w:t>§ 3.</w:t>
      </w:r>
      <w:r w:rsidRPr="00500CE2">
        <w:rPr>
          <w:rFonts w:ascii="Times New Roman" w:hAnsi="Times New Roman" w:cs="Times New Roman"/>
        </w:rPr>
        <w:t xml:space="preserve"> Właściciele nieruchomości zapewniają: 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1) uprzątanie błota, lodu i śniegu z wydzielonych ciągów komunikacyjnych położnych na częściach nieruchomości służących do użytku publicznego, w szczególności dróg, chodników, dojść do budynków i garaży oraz do miejsc zbierania odpadów, poprzez gromadzenie tych zanieczyszczeń w miejscach, w których nie utrudnia to ruchu pieszego i nie zagraża przechodniom, pojazdom oraz istniejącej  zieleni,  z  zachowaniem  możliwości  odpływu wody roztopowej do kanalizacji;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2) uprzątanie i usuwanie niewymienionych w pkt 1 zanieczyszczeń, w tym opadłych liści </w:t>
      </w:r>
      <w:r w:rsidRPr="00500CE2">
        <w:rPr>
          <w:rFonts w:ascii="Times New Roman" w:hAnsi="Times New Roman" w:cs="Times New Roman"/>
        </w:rPr>
        <w:br/>
        <w:t xml:space="preserve">i odpadów pozostawionych w miejscach do tego nie przeznaczonych, z części nieruchomości służących do użytku publicznego, w tym z miejsc gromadzenia odpadów. 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4. </w:t>
      </w:r>
      <w:r w:rsidRPr="00500CE2">
        <w:rPr>
          <w:rFonts w:ascii="Times New Roman" w:hAnsi="Times New Roman" w:cs="Times New Roman"/>
        </w:rPr>
        <w:t xml:space="preserve">1. Mycie pojazdów samochodowych poza myjniami samochodowymi może odbywać się na terenie nieruchomości wyłącznie w miejscach przystosowanych do tego celu poprzez zapewnienie odprowadzania powstających ścieków do miejskiej sieci kanalizacji sanitarnej lub ogólnospławnej zgodnie z obowiązującymi przepisami, lub gromadzenie ścieków w zbiornikach bezodpływowych. W </w:t>
      </w:r>
      <w:r w:rsidRPr="00500CE2">
        <w:rPr>
          <w:rFonts w:ascii="Times New Roman" w:hAnsi="Times New Roman" w:cs="Times New Roman"/>
        </w:rPr>
        <w:lastRenderedPageBreak/>
        <w:t>szczególności takie ścieki nie mogą być odprowadzane do zbiorników wodnych, do ziemi oraz do kanalizacji deszczowej.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Zakazuje się napraw pojazdów samochodowych poza warsztatami naprawczymi, jeżeli naprawy te mogą powodować zagrożenie dla środowiska. W szczególności zakazuje się napraw związanych z wymianą oleju silnikowego i przekładniowego, płynów chłodniczych </w:t>
      </w:r>
      <w:r w:rsidRPr="00500CE2">
        <w:rPr>
          <w:rFonts w:ascii="Times New Roman" w:hAnsi="Times New Roman" w:cs="Times New Roman"/>
        </w:rPr>
        <w:br/>
        <w:t>i hamulcowych lub napraw, w wyniku których może nastąpić zanieczyszczenie terenu tymi substancjami.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3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 xml:space="preserve">Rodzaje pojemników do zbierania odpadów komunalnych na terenie nieruchomości </w:t>
      </w:r>
      <w:r w:rsidRPr="00500CE2">
        <w:rPr>
          <w:rFonts w:ascii="Times New Roman" w:hAnsi="Times New Roman" w:cs="Times New Roman"/>
          <w:b/>
          <w:bCs/>
        </w:rPr>
        <w:br/>
        <w:t>i na drogach publicznych, wymagania dotyczące ich minimalnej pojemności oraz rozmieszczenia i utrzymywania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5. </w:t>
      </w:r>
      <w:r w:rsidRPr="00500CE2">
        <w:rPr>
          <w:rFonts w:ascii="Times New Roman" w:hAnsi="Times New Roman" w:cs="Times New Roman"/>
        </w:rPr>
        <w:t>1. Jeśli przepisy niniejszej uchwały nie stanowią inaczej, do zbierania odpadów komunalnych stosuje się szczelne pojemniki wykonane z trwałego materiału, w szczególności metalu lub tworzywa sztucznego, wyposażone w klapy lub pokrywy umożliwiające ich zamknięcie oznakowane w sposób jednoznacznie wskazujący na rodzaj zbieranych w nich odpadów. Pojemniki do zbierania odpadów komunalnych mogą być wyposażone w urządzenia służące do zagęszczania odpadów.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Konstrukcja pojemników powinna umożliwiać ich opróżnianie przy użyciu grzebieniowego, bramowego lub hakowego mechanizmu załadowczego pojazdów przeznaczonych do odbioru odpadów albo hydraulicznym dźwigiem samochodowym.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3. Do zbierania odpadów mogą być stosowane pojemniki w całości lub części umieszczone poniżej poziomu gruntu, o ile przystosowane są do opróżniania hydraulicznym dźwigiem samochodowym.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00CE2">
        <w:rPr>
          <w:rFonts w:ascii="Times New Roman" w:hAnsi="Times New Roman" w:cs="Times New Roman"/>
        </w:rPr>
        <w:tab/>
        <w:t xml:space="preserve">4. Poza wyjątkami wprost </w:t>
      </w:r>
      <w:r w:rsidRPr="00D82782">
        <w:rPr>
          <w:rFonts w:ascii="Times New Roman" w:hAnsi="Times New Roman" w:cs="Times New Roman"/>
        </w:rPr>
        <w:t xml:space="preserve">wskazanymi w </w:t>
      </w:r>
      <w:r w:rsidR="00500CE2" w:rsidRPr="00D82782">
        <w:rPr>
          <w:rFonts w:ascii="Times New Roman" w:hAnsi="Times New Roman" w:cs="Times New Roman"/>
        </w:rPr>
        <w:t xml:space="preserve">§ 8 </w:t>
      </w:r>
      <w:r w:rsidRPr="00D82782">
        <w:rPr>
          <w:rFonts w:ascii="Times New Roman" w:hAnsi="Times New Roman" w:cs="Times New Roman"/>
        </w:rPr>
        <w:t>dopuszcza</w:t>
      </w:r>
      <w:r w:rsidRPr="00500CE2">
        <w:rPr>
          <w:rFonts w:ascii="Times New Roman" w:hAnsi="Times New Roman" w:cs="Times New Roman"/>
        </w:rPr>
        <w:t xml:space="preserve"> się zbieranie odpadów komunalnych w szczelnych i zawiązywanych workach o pojemności minimalnej 60 l, </w:t>
      </w:r>
      <w:r w:rsidRPr="00500CE2">
        <w:rPr>
          <w:rFonts w:ascii="Times New Roman" w:hAnsi="Times New Roman" w:cs="Times New Roman"/>
        </w:rPr>
        <w:br/>
        <w:t xml:space="preserve">o ile jest to uzasadnione szczególnymi okolicznościami.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  <w:r w:rsidRPr="00500CE2">
        <w:rPr>
          <w:rFonts w:ascii="Times New Roman" w:hAnsi="Times New Roman" w:cs="Times New Roman"/>
          <w:b/>
          <w:bCs/>
        </w:rPr>
        <w:t>§ 6.</w:t>
      </w:r>
      <w:r w:rsidRPr="00500CE2">
        <w:rPr>
          <w:rFonts w:ascii="Times New Roman" w:hAnsi="Times New Roman" w:cs="Times New Roman"/>
        </w:rPr>
        <w:t xml:space="preserve"> Pojemniki oraz worki do zbierania poszczególnych rodzajów odpadów komunalnych oznacza się kolorem: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żółtym - jeśli  zbiera się w nich tworzywa sztuczne, metale i opakowania wielomateriałowe;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zielonym – jeśli  zbiera się w nich szkło;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niebieskim - jeśli  zbiera się w nich papier i tekturę;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brązowym – jeśli  zbiera się w nich odpady zielone;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czerwonym - jeśli  zbiera się w nich odpady niebezpieczne;</w:t>
      </w:r>
    </w:p>
    <w:p w:rsidR="00340C00" w:rsidRPr="00500CE2" w:rsidRDefault="00340C0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czarnym - jeśli  zbiera się w nich zmieszane odpady komunalne.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  <w:r w:rsidRPr="00500CE2">
        <w:rPr>
          <w:rFonts w:ascii="Times New Roman" w:hAnsi="Times New Roman" w:cs="Times New Roman"/>
          <w:b/>
          <w:bCs/>
        </w:rPr>
        <w:t>§ 7.</w:t>
      </w:r>
      <w:r w:rsidRPr="00500CE2">
        <w:rPr>
          <w:rFonts w:ascii="Times New Roman" w:hAnsi="Times New Roman" w:cs="Times New Roman"/>
        </w:rPr>
        <w:t xml:space="preserve"> 1. Do zbierania zmieszanych odpadów komunalnych stosuje się pojemniki </w:t>
      </w:r>
      <w:r w:rsidRPr="00500CE2">
        <w:rPr>
          <w:rFonts w:ascii="Times New Roman" w:hAnsi="Times New Roman" w:cs="Times New Roman"/>
        </w:rPr>
        <w:br/>
        <w:t xml:space="preserve">o pojemnościach </w:t>
      </w:r>
      <w:r w:rsidRPr="004C31FA">
        <w:rPr>
          <w:rFonts w:ascii="Times New Roman" w:hAnsi="Times New Roman" w:cs="Times New Roman"/>
        </w:rPr>
        <w:t>od 0,06 m</w:t>
      </w:r>
      <w:r w:rsidRPr="004C31FA">
        <w:rPr>
          <w:rFonts w:ascii="Times New Roman" w:hAnsi="Times New Roman" w:cs="Times New Roman"/>
          <w:vertAlign w:val="superscript"/>
        </w:rPr>
        <w:t xml:space="preserve">3 </w:t>
      </w:r>
      <w:r w:rsidRPr="004C31FA">
        <w:rPr>
          <w:rFonts w:ascii="Times New Roman" w:hAnsi="Times New Roman" w:cs="Times New Roman"/>
        </w:rPr>
        <w:t>do</w:t>
      </w:r>
      <w:r w:rsidRPr="00500CE2">
        <w:rPr>
          <w:rFonts w:ascii="Times New Roman" w:hAnsi="Times New Roman" w:cs="Times New Roman"/>
        </w:rPr>
        <w:t xml:space="preserve"> 16 m</w:t>
      </w:r>
      <w:r w:rsidRPr="00500CE2">
        <w:rPr>
          <w:rFonts w:ascii="Times New Roman" w:hAnsi="Times New Roman" w:cs="Times New Roman"/>
          <w:vertAlign w:val="superscript"/>
        </w:rPr>
        <w:t>3</w:t>
      </w:r>
      <w:r w:rsidRPr="00500CE2">
        <w:rPr>
          <w:rFonts w:ascii="Times New Roman" w:hAnsi="Times New Roman" w:cs="Times New Roman"/>
        </w:rPr>
        <w:t>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Do selektywnego zbierania odpadów komunalnych stosuje się pojemniki </w:t>
      </w:r>
      <w:r w:rsidRPr="00500CE2">
        <w:rPr>
          <w:rFonts w:ascii="Times New Roman" w:hAnsi="Times New Roman" w:cs="Times New Roman"/>
        </w:rPr>
        <w:br/>
        <w:t xml:space="preserve">o pojemnościach od </w:t>
      </w:r>
      <w:r w:rsidRPr="004C31FA">
        <w:rPr>
          <w:rFonts w:ascii="Times New Roman" w:hAnsi="Times New Roman" w:cs="Times New Roman"/>
        </w:rPr>
        <w:t>0,06 m</w:t>
      </w:r>
      <w:r w:rsidRPr="004C31FA">
        <w:rPr>
          <w:rFonts w:ascii="Times New Roman" w:hAnsi="Times New Roman" w:cs="Times New Roman"/>
          <w:vertAlign w:val="superscript"/>
        </w:rPr>
        <w:t>3</w:t>
      </w:r>
      <w:r w:rsidRPr="00500CE2">
        <w:rPr>
          <w:rFonts w:ascii="Times New Roman" w:hAnsi="Times New Roman" w:cs="Times New Roman"/>
        </w:rPr>
        <w:t xml:space="preserve"> do 36 m</w:t>
      </w:r>
      <w:r w:rsidRPr="00500CE2">
        <w:rPr>
          <w:rFonts w:ascii="Times New Roman" w:hAnsi="Times New Roman" w:cs="Times New Roman"/>
          <w:vertAlign w:val="superscript"/>
        </w:rPr>
        <w:t>3</w:t>
      </w:r>
      <w:r w:rsidRPr="00500CE2">
        <w:rPr>
          <w:rFonts w:ascii="Times New Roman" w:hAnsi="Times New Roman" w:cs="Times New Roman"/>
        </w:rPr>
        <w:t>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  <w:r w:rsidRPr="00500CE2">
        <w:rPr>
          <w:rFonts w:ascii="Times New Roman" w:hAnsi="Times New Roman" w:cs="Times New Roman"/>
          <w:b/>
          <w:bCs/>
        </w:rPr>
        <w:t>§ 8.</w:t>
      </w:r>
      <w:r w:rsidRPr="00500CE2">
        <w:rPr>
          <w:rFonts w:ascii="Times New Roman" w:hAnsi="Times New Roman" w:cs="Times New Roman"/>
        </w:rPr>
        <w:t xml:space="preserve"> 1. Do zbierania papieru i tektury, tworzyw sztucznych, metali i opakowań wielomateriałowych stosuje się pojemniki o budowie zapewniającej ochronę przed wpływem opadów atmosferycznych i rozwiewaniem. W przypadku zabudowy jednorodzinnej oraz nieruchomości, na których nie zamieszkują mieszkańcy a powstają odpady komunalne, do zbierania tych odpadów mogą być stosowane szczelne, zawiązywane worki o minimalnej pojemności 60 l, oznaczone w sposób określony w § 6.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2. Do zbierania zużytego sprzętu elektrycznego i elektronicznego stosuje się wyłącznie pojemniki, których konstrukcja umożliwia umieszczanie w nich odpadów w sposób ograniczający możliwość ich uszkodzenia lub zniszczenia. Konstrukcja pojemnika powinna uniemożliwiać osobom nieupoważnionym dostęp do zgromadzonych w pojemniku odpadów.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3. Do zbierania odpadów zielonych stosuje się szczelne i zawiązywane worki </w:t>
      </w:r>
      <w:r w:rsidRPr="00500CE2">
        <w:rPr>
          <w:rFonts w:ascii="Times New Roman" w:hAnsi="Times New Roman" w:cs="Times New Roman"/>
        </w:rPr>
        <w:br/>
        <w:t>o minimalnej pojemności 60 l lub pojemniki o pojemności 7 m</w:t>
      </w:r>
      <w:r w:rsidRPr="00500CE2">
        <w:rPr>
          <w:rFonts w:ascii="Times New Roman" w:hAnsi="Times New Roman" w:cs="Times New Roman"/>
          <w:vertAlign w:val="superscript"/>
        </w:rPr>
        <w:t xml:space="preserve">3 </w:t>
      </w:r>
      <w:r w:rsidRPr="00500CE2">
        <w:rPr>
          <w:rFonts w:ascii="Times New Roman" w:hAnsi="Times New Roman" w:cs="Times New Roman"/>
        </w:rPr>
        <w:t>i większej.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lastRenderedPageBreak/>
        <w:tab/>
        <w:t xml:space="preserve">4. Do zbierania odpadów wielkogabarytowych oraz odpadów budowlanych </w:t>
      </w:r>
      <w:r w:rsidRPr="00500CE2">
        <w:rPr>
          <w:rFonts w:ascii="Times New Roman" w:hAnsi="Times New Roman" w:cs="Times New Roman"/>
        </w:rPr>
        <w:br/>
        <w:t>i rozbiórkowych stosuje się pojemniki umożliwiające zachowanie technicznych warunków ich odbioru.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5. Do zbierania odpadów budowlanych i rozbiórkowych można stosować również worki przeznaczone do zbierania tego rodzaju odpadów, w szczególności worki typu „big-bag”.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6. Do zbierania odpadów na drogach publicznych oraz w innych miejscach przeznaczonych do użytku publicznego, stosuje się pojemniki, zwane dalej „koszami ulicznymi”, wykonane z materiałów niepalnych, o konstrukcji zabezpieczającej odpady przed opadami atmosferycznymi i rozwiewaniem. Sposób mocowania kosza ulicznego do podłoża lub jego konstrukcja powinny zabezpieczać kosz przed swobodnym przemieszczaniem kosza przez osoby nieuprawnione.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9. </w:t>
      </w:r>
      <w:r w:rsidRPr="00500CE2">
        <w:rPr>
          <w:rFonts w:ascii="Times New Roman" w:hAnsi="Times New Roman" w:cs="Times New Roman"/>
        </w:rPr>
        <w:t xml:space="preserve">1. Do zbierania odpadów komunalnych stosuje się, z zastrzeżeniem ust. </w:t>
      </w:r>
      <w:r w:rsidRPr="002E2AD8">
        <w:rPr>
          <w:rFonts w:ascii="Times New Roman" w:hAnsi="Times New Roman" w:cs="Times New Roman"/>
        </w:rPr>
        <w:t>2</w:t>
      </w:r>
      <w:r w:rsidRPr="00500CE2">
        <w:rPr>
          <w:rFonts w:ascii="Times New Roman" w:hAnsi="Times New Roman" w:cs="Times New Roman"/>
        </w:rPr>
        <w:t>, pojemniki o pojemności nie mniejszej niż 0,06 m</w:t>
      </w:r>
      <w:r w:rsidRPr="00500CE2">
        <w:rPr>
          <w:rFonts w:ascii="Times New Roman" w:hAnsi="Times New Roman" w:cs="Times New Roman"/>
          <w:vertAlign w:val="superscript"/>
        </w:rPr>
        <w:t>3</w:t>
      </w:r>
      <w:r w:rsidRPr="00500CE2">
        <w:rPr>
          <w:rFonts w:ascii="Times New Roman" w:hAnsi="Times New Roman" w:cs="Times New Roman"/>
        </w:rPr>
        <w:t>, za wyjątkiem koszy ulicznych, których pojemność nie powinna być mniejsza niż 0,03 m</w:t>
      </w:r>
      <w:r w:rsidRPr="00500CE2">
        <w:rPr>
          <w:rFonts w:ascii="Times New Roman" w:hAnsi="Times New Roman" w:cs="Times New Roman"/>
          <w:vertAlign w:val="superscript"/>
        </w:rPr>
        <w:t>3</w:t>
      </w:r>
      <w:r w:rsidRPr="00500CE2">
        <w:rPr>
          <w:rFonts w:ascii="Times New Roman" w:hAnsi="Times New Roman" w:cs="Times New Roman"/>
        </w:rPr>
        <w:t>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2. Łączna pojemność pojemników, w które wyposażona jest nieruchomość, nie powinna być mniejsza niż pojemność obliczona zgodnie z ust. 3.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3. Minimalną łączną pojemność pojemników oblicza się przyjmując, że powinna ona odpowiadać sumarycznej objętości wszystkich odpadów komunalnych wynoszącej </w:t>
      </w:r>
      <w:r w:rsidRPr="00500CE2">
        <w:rPr>
          <w:rFonts w:ascii="Times New Roman" w:hAnsi="Times New Roman" w:cs="Times New Roman"/>
        </w:rPr>
        <w:br/>
        <w:t>w przypadku:</w:t>
      </w:r>
    </w:p>
    <w:p w:rsidR="00340C00" w:rsidRPr="00500CE2" w:rsidRDefault="00340C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nieruchomości zamieszkałej – 40 l na każdego mieszkańca nieruchomości;</w:t>
      </w:r>
    </w:p>
    <w:p w:rsidR="00340C00" w:rsidRPr="00500CE2" w:rsidRDefault="00340C0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nieruchomości, na której świadczona jest praca – 15 l na pracownika oraz dodatkowo </w:t>
      </w:r>
      <w:r w:rsidRPr="00500CE2">
        <w:rPr>
          <w:rFonts w:ascii="Times New Roman" w:hAnsi="Times New Roman" w:cs="Times New Roman"/>
        </w:rPr>
        <w:br/>
        <w:t>w przypadku: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szkoły, przedszkola, żłobka – 3 l na ucznia,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szpitala – 20 l na łóżko szpitalne,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koszar, hotelu, motelu lub pensjonatu – 20 l na miejsce sypialne,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internatu, domu akademickiego, bursy, noclegowni, domu pomocy społecznej – 40 l na miejsce sypialne,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lokalu lub ogródka gastronomicznego – 5 l na miejsce konsumpcyjne,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schroniska lub hotelu dla zwierząt – 20 l na miejsce dla zwierzęcia,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teatru, sali widowiskowej, koncertowej lub kina studyjnego – 3 l na miejsce na widowni,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kina innego niż studyjne – 6 l na miejsce na widowni,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cmentarza – 3 l na miejsce grzebalne,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zespołu garaży wolnostojących – 10 l na każdy garaż,</w:t>
      </w:r>
    </w:p>
    <w:p w:rsidR="00340C00" w:rsidRPr="00500CE2" w:rsidRDefault="00340C00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zespołu ogrodów działkowych – 40 l na każdą wyodrębnioną działkę.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4. Jeżeli położenie lub charakter nieruchomości uniemożliwia lub utrudnia wyposażenie jej w pojemniki o pojemności obliczonej zgodnie z ust. 3, dopuszcza się wyposażenie takiej nieruchomości w pojemnik o mniejszej pojemności, o ile częstotliwość opróżniania tego pojemnika przez podmiot odbierający odpady komunalne będzie gwarantowała w każdym tygodniu możliwość pozbywania się odpadów o objętości odpowiadającej łącznej minimalnej pojemności pojemników.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5. Jeżeli właściciele więcej niż jednej nieruchomości korzystają z tych samych pojemników, łączna pojemność tych pojemników winna odpowiadać co najmniej sumie minimalnej pojemności pojemników, wymaganej zgodnie z ust. 2 dla każdej z nieruchomości.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10. </w:t>
      </w:r>
      <w:r w:rsidRPr="00500CE2">
        <w:rPr>
          <w:rFonts w:ascii="Times New Roman" w:hAnsi="Times New Roman" w:cs="Times New Roman"/>
        </w:rPr>
        <w:t>1. Pojemniki  rozmieszcza się na terenie nieruchomości, na której wytwarzane są odpady komunalne. W przypadku braku takiego miejsca, dopuszcza się ustawianie pojemników na terenie nieruchomości sąsiedniej, pod warunkiem uzyskania zgody od właściciela nieruchomości sąsiedniej.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Pojemniki rozmieszcza się w sposób zapewniający łatwy dostęp dla osób z nich korzystających.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3. Właściciel nieruchomości zobowiązany jest do ustawienia pojemników oraz worków na odpady komunalne w sposób zapewniający podmiotowi odbierającemu odpady komunalne bezpośredni do nich dojazd za pomocą wyspecjalizowanego pojazdu co najmniej o dopuszczalnej masie całkowitej 3,5 t oraz łatwy odbiór odpadów. Jeśli miejsce ustawienia pojemników i worków uniemożliwia taki dojazd, właściciel nieruchomości obowiązany jest do zmiany miejsca ich ustawienia w taki sposób, aby w dniu odbioru odpadów wymagania w zakresie dostępu do pojemników i worków były spełnione.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lastRenderedPageBreak/>
        <w:tab/>
        <w:t xml:space="preserve">4. Worki przeznaczone do selektywnego zbierania odpadów należy umieszczać </w:t>
      </w:r>
      <w:r w:rsidRPr="00500CE2">
        <w:rPr>
          <w:rFonts w:ascii="Times New Roman" w:hAnsi="Times New Roman" w:cs="Times New Roman"/>
        </w:rPr>
        <w:br/>
        <w:t>w miejscu ustawienia pojemników lub w innym miejscu, spełniającym wymagania określone w ust. 3, nie wcześniej jednak niż w dniu poprzedzającym ich odbiór zgodnie z harmonogramem odbioru danego rodzaju odpadów.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11. </w:t>
      </w:r>
      <w:r w:rsidRPr="00500CE2">
        <w:rPr>
          <w:rFonts w:ascii="Times New Roman" w:hAnsi="Times New Roman" w:cs="Times New Roman"/>
        </w:rPr>
        <w:t xml:space="preserve">Utrzymanie pojemników w odpowiednim stanie sanitarnym, porządkowym </w:t>
      </w:r>
      <w:r w:rsidRPr="00500CE2">
        <w:rPr>
          <w:rFonts w:ascii="Times New Roman" w:hAnsi="Times New Roman" w:cs="Times New Roman"/>
        </w:rPr>
        <w:br/>
        <w:t>i technicznym polega w szczególności na okresowym myciu i dezynfekcji pojemników, nie rzadziej jednak niż raz na 6 miesięcy, okresowych przeglądach, konserwacji oraz ich wymianie w przypadku uszkodzenia lub zniszczenia uniemożliwiającego dalsze użytkowanie i nie obejmuje utrzymania w należytym stanie porządkowym i sanitarnym miejsc ustawienia pojemników.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4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 xml:space="preserve">Częstotliwość i sposób pozbywania się odpadów komunalnych lub nieczystości ciekłych </w:t>
      </w:r>
      <w:r w:rsidRPr="00500CE2">
        <w:rPr>
          <w:rFonts w:ascii="Times New Roman" w:hAnsi="Times New Roman" w:cs="Times New Roman"/>
          <w:b/>
          <w:bCs/>
        </w:rPr>
        <w:br/>
        <w:t>z terenu nieruchomości oraz z terenów przeznaczonych do użytku publicznego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12. </w:t>
      </w:r>
      <w:r w:rsidRPr="00500CE2">
        <w:rPr>
          <w:rFonts w:ascii="Times New Roman" w:hAnsi="Times New Roman" w:cs="Times New Roman"/>
        </w:rPr>
        <w:t>1. Odpady komunalne przeznaczone do odbierania z terenu nieruchomości przekazuje się podmiotowi odbierającemu odpady komunalne w sposób i w czasie umożliwiającym ich odbiór z terenu nieruchomości z częstotliwością nie mniejszą niż:</w:t>
      </w:r>
    </w:p>
    <w:p w:rsidR="00340C00" w:rsidRPr="00500CE2" w:rsidRDefault="00340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>odpady zmieszane - co najmniej 1 raz w tygodniu;</w:t>
      </w:r>
    </w:p>
    <w:p w:rsidR="00340C00" w:rsidRPr="00500CE2" w:rsidRDefault="00340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>odpady zielone - co najmniej 1 raz w tygodniu;</w:t>
      </w:r>
    </w:p>
    <w:p w:rsidR="00340C00" w:rsidRPr="00500CE2" w:rsidRDefault="00340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 xml:space="preserve">odpady z tworzyw sztucznych, metali, opakowań wielomateriałowych – co najmniej </w:t>
      </w:r>
      <w:r w:rsidRPr="00500CE2">
        <w:rPr>
          <w:rFonts w:ascii="Times New Roman" w:hAnsi="Times New Roman" w:cs="Times New Roman"/>
        </w:rPr>
        <w:br/>
        <w:t>1 raz na 2 tygodnie;</w:t>
      </w:r>
    </w:p>
    <w:p w:rsidR="00340C00" w:rsidRPr="00500CE2" w:rsidRDefault="00340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>odpady z papieru i tektury – co najmniej 1 raz w miesiącu;</w:t>
      </w:r>
    </w:p>
    <w:p w:rsidR="00340C00" w:rsidRPr="00500CE2" w:rsidRDefault="00340C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>szkło – co najmniej 1 raz na 2 tygodnie.</w:t>
      </w:r>
    </w:p>
    <w:p w:rsidR="00340C00" w:rsidRPr="00500CE2" w:rsidRDefault="00340C00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</w:rPr>
        <w:t>Meble i odpady wielkogabarytowe przekazuje się do odebrania w przypadku zabudowy jednorodzinnej co najmniej 1 raz na 2 miesiące, a w przypadku nieruchomości zabudowanych budynkami wielolokalowymi co najmniej 1 raz w miesiącu</w:t>
      </w:r>
      <w:r w:rsidRPr="00500CE2">
        <w:rPr>
          <w:rFonts w:ascii="Times New Roman" w:hAnsi="Times New Roman" w:cs="Times New Roman"/>
          <w:b/>
          <w:bCs/>
        </w:rPr>
        <w:t>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3. Odpadów podlegających selektywnemu zbieraniu, które nie są przekazywane </w:t>
      </w:r>
      <w:r w:rsidRPr="00500CE2">
        <w:rPr>
          <w:rFonts w:ascii="Times New Roman" w:hAnsi="Times New Roman" w:cs="Times New Roman"/>
        </w:rPr>
        <w:br/>
        <w:t>do odebrania, należy pozbywać się z częstotliwością określoną w ust. 1 i 2 oraz właściwą dla danego rodzaju odpadów, a w przypadku odpadów niewymienionych w ust. 1 i 2 – z częstotliwością nie mniejszą niż 1 raz na kwartał.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4. Kosze uliczne należy opróżniać z częstotliwością zapewniającą niedopuszczenie </w:t>
      </w:r>
      <w:r w:rsidRPr="00500CE2">
        <w:rPr>
          <w:rFonts w:ascii="Times New Roman" w:hAnsi="Times New Roman" w:cs="Times New Roman"/>
        </w:rPr>
        <w:br/>
        <w:t>do ich przepełniania, lecz nie rzadziej niż 1 raz w tygodniu.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500CE2">
        <w:rPr>
          <w:rFonts w:ascii="Times New Roman" w:hAnsi="Times New Roman" w:cs="Times New Roman"/>
        </w:rPr>
        <w:tab/>
        <w:t xml:space="preserve">5. Nieczystości ciekłych gromadzonych w zbiornikach bezodpływowych należy pozbywać się wyłącznie za pośrednictwem przedsiębiorcy prowadzącego na terenie Wrocławia działalność w zakresie opróżniania zbiorników bezodpływowych i transportu nieczystości ciekłych, z częstotliwością zapewniającą niedopuszczanie do przepełnienia się zbiorników, a w przypadku nieruchomości zamieszkanych lub użytkowanych – nie rzadziej niż 1 raz na 3 miesiące.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13. </w:t>
      </w:r>
      <w:r w:rsidRPr="00500CE2">
        <w:rPr>
          <w:rFonts w:ascii="Times New Roman" w:hAnsi="Times New Roman" w:cs="Times New Roman"/>
        </w:rPr>
        <w:t>1. Zmieszane odpady komunalne należy przekazywać wyłącznie podmiotowi prowadzącemu działalność w zakresie odbierania odpadów komunalnych.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Selektywnie zebranych odpadów komunalnych należy pozbywać się przekazując je do odebrania z terenu nieruchomości lub do miejsc wskazanych </w:t>
      </w:r>
      <w:r w:rsidRPr="00500CE2">
        <w:rPr>
          <w:rFonts w:ascii="Times New Roman" w:hAnsi="Times New Roman" w:cs="Times New Roman"/>
        </w:rPr>
        <w:br/>
        <w:t>w § 14 ust. 2-4 albo w inny sposób zgodny z obowiązującymi przepisami prawa.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</w:r>
      <w:r w:rsidRPr="00500CE2">
        <w:rPr>
          <w:rFonts w:ascii="Times New Roman" w:hAnsi="Times New Roman" w:cs="Times New Roman"/>
          <w:b/>
          <w:bCs/>
        </w:rPr>
        <w:t>§ 14.</w:t>
      </w:r>
      <w:r w:rsidRPr="00500CE2">
        <w:rPr>
          <w:rFonts w:ascii="Times New Roman" w:hAnsi="Times New Roman" w:cs="Times New Roman"/>
        </w:rPr>
        <w:t xml:space="preserve"> 1. Do odebrania z terenu nieruchomości, z zastrzeżeniem ust. 2 - 4, przekazuje się: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zmieszane;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papier i tekturę;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tworzywa sztuczne;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metale;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opakowania wielomateriałowe;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szkło;</w:t>
      </w:r>
    </w:p>
    <w:p w:rsidR="00340C00" w:rsidRPr="00500CE2" w:rsidRDefault="00340C0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zielone,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lastRenderedPageBreak/>
        <w:tab/>
        <w:t xml:space="preserve">2. Do punktów selektywnego zbierania odpadów komunalnych przekazuje się </w:t>
      </w:r>
      <w:r w:rsidRPr="00500CE2">
        <w:rPr>
          <w:rFonts w:ascii="Times New Roman" w:hAnsi="Times New Roman" w:cs="Times New Roman"/>
        </w:rPr>
        <w:br/>
        <w:t>w szczególności: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papier i tekturę;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tworzywa sztuczne;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metale;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opakowania wielomateriałowe;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szkło;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zielone;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meble i inne odpady wielkogabarytowe;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zużyty sprzęt elektryczny i elektroniczny;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zużyte baterie i akumulatory;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odpady budowlane i rozbiórkowe;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zużyte opony;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przeterminowane leki i chemikalia;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termometry rtęciowe;</w:t>
      </w:r>
    </w:p>
    <w:p w:rsidR="00340C00" w:rsidRPr="00500CE2" w:rsidRDefault="00340C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odzież i tekstylia.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3. Meble i inne odpady wielkogabarytowe przekazuje się do odebrania poprzez ich umieszczenie w odpowiednio oznaczonych pojemnikach, ustawianych okresowo przez gminę </w:t>
      </w:r>
      <w:r w:rsidRPr="00500CE2">
        <w:rPr>
          <w:rFonts w:ascii="Times New Roman" w:hAnsi="Times New Roman" w:cs="Times New Roman"/>
        </w:rPr>
        <w:br/>
        <w:t>w miejscach ogólnodostępnych.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4. Przeterminowane leki przekazuje się do odebrania poprzez ich umieszczenie </w:t>
      </w:r>
      <w:r w:rsidRPr="00500CE2">
        <w:rPr>
          <w:rFonts w:ascii="Times New Roman" w:hAnsi="Times New Roman" w:cs="Times New Roman"/>
        </w:rPr>
        <w:br/>
        <w:t>w odpowiednio oznaczonych pojemnikach, ustawionych w aptekach prowadzących zbieranie takich odpadów.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15. </w:t>
      </w:r>
      <w:r w:rsidRPr="00500CE2">
        <w:rPr>
          <w:rFonts w:ascii="Times New Roman" w:hAnsi="Times New Roman" w:cs="Times New Roman"/>
        </w:rPr>
        <w:t>Zabrania się:</w:t>
      </w:r>
    </w:p>
    <w:p w:rsidR="00340C00" w:rsidRPr="00500CE2" w:rsidRDefault="00340C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umieszczania w pojemnikach przeznaczonych na zmieszane odpady komunalne leków </w:t>
      </w:r>
      <w:r w:rsidRPr="00500CE2">
        <w:rPr>
          <w:rFonts w:ascii="Times New Roman" w:hAnsi="Times New Roman" w:cs="Times New Roman"/>
        </w:rPr>
        <w:br/>
        <w:t xml:space="preserve">i chemikaliów, zużytego sprzętu elektrycznego i elektronicznego, baterii, akumulatorów oraz innych odpadów niebezpiecznych, a także odpadów wielkogabarytowych, odpadów rozbiórkowych i budowlanych, zużytych opon, odpadów zielonych oraz odpadów </w:t>
      </w:r>
      <w:r w:rsidRPr="00500CE2">
        <w:rPr>
          <w:rFonts w:ascii="Times New Roman" w:hAnsi="Times New Roman" w:cs="Times New Roman"/>
        </w:rPr>
        <w:br/>
        <w:t>ze szkła, tworzyw sztucznych, metali, opakowań wielomateriałowych i papieru, odzieży i tekstyliów;</w:t>
      </w:r>
    </w:p>
    <w:p w:rsidR="00340C00" w:rsidRPr="00500CE2" w:rsidRDefault="00340C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umieszczania w pojemnikach przeznaczonych do zbierania odpadów komunalnych odpadów nie mających charakteru odpadów komunalnych, w tym pochodzących </w:t>
      </w:r>
      <w:r w:rsidRPr="00500CE2">
        <w:rPr>
          <w:rFonts w:ascii="Times New Roman" w:hAnsi="Times New Roman" w:cs="Times New Roman"/>
        </w:rPr>
        <w:br/>
        <w:t xml:space="preserve">z działalności gospodarczej odpadów opakowaniowych, odpadów medycznych oraz </w:t>
      </w:r>
      <w:r w:rsidRPr="00500CE2">
        <w:rPr>
          <w:rFonts w:ascii="Times New Roman" w:hAnsi="Times New Roman" w:cs="Times New Roman"/>
          <w:color w:val="000000"/>
        </w:rPr>
        <w:t>odpadów kuchennych z lokali gastronomicznych;</w:t>
      </w:r>
    </w:p>
    <w:p w:rsidR="00340C00" w:rsidRPr="00500CE2" w:rsidRDefault="00340C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umieszczania w pojemnikach i workach przeznaczonych do selektywnego zbierania, odpadów innych niż te, na jakie przeznaczony jest pojemnik lub worek;</w:t>
      </w:r>
    </w:p>
    <w:p w:rsidR="00340C00" w:rsidRPr="00500CE2" w:rsidRDefault="00340C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pozostawiania na terenie nieruchomości odpadów, zwłaszcza w postaci żywności </w:t>
      </w:r>
      <w:r w:rsidRPr="00500CE2">
        <w:rPr>
          <w:rFonts w:ascii="Times New Roman" w:hAnsi="Times New Roman" w:cs="Times New Roman"/>
        </w:rPr>
        <w:br/>
        <w:t>i resztek jedzenia, w sposób stwarzający dziko żyjącym zwierzętom łatwy dostęp do tych odpadów;</w:t>
      </w:r>
    </w:p>
    <w:p w:rsidR="00340C00" w:rsidRPr="00500CE2" w:rsidRDefault="00340C0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umieszczania odpadów w pojemnikach przeznaczonych na odchody zwierząt.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5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Obowiązki i wymagania ciążące na osobach utrzymujących zwierzęta domowe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>§ 16.</w:t>
      </w:r>
      <w:r w:rsidRPr="00500CE2">
        <w:rPr>
          <w:rFonts w:ascii="Times New Roman" w:hAnsi="Times New Roman" w:cs="Times New Roman"/>
        </w:rPr>
        <w:t>1. Osoba utrzymująca zwierzę domowe zobowiązana jest utrzymywać je w taki sposób, aby nie stwarzać zagrożenia i uciążliwości dla ludzi.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2. Osoba utrzymująca zwierzę domowe, w szczególności mogące stanowić zagrożenie lub uciążliwość dla ludzi, powinna zapewnić utrzymanie zwierzęcia w sposób zapobiegający jego wydostaniu się poza teren nieruchomości, na której jest utrzymywane.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3. Osoba utrzymująca zwierzę domowe zobowiązana jest zapewnić pełny nadzór nad zwierzęciem.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4. Na terenach przeznaczonych do użytku publicznego zwierzę domowe może przebywać wyłącznie pod nadzorem osoby, która jest zdolna do sprawowania pełnej kontroli nad zachowaniem się zwierzęcia.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lastRenderedPageBreak/>
        <w:tab/>
        <w:t xml:space="preserve">5. Na terenach przeznaczonych do użytku publicznego psy należy prowadzić na smyczy, zaś  psy należące do ras uznawanych za agresywne oraz psy, które zachowują się agresywnie </w:t>
      </w:r>
      <w:r w:rsidRPr="00500CE2">
        <w:rPr>
          <w:rFonts w:ascii="Times New Roman" w:hAnsi="Times New Roman" w:cs="Times New Roman"/>
        </w:rPr>
        <w:br/>
        <w:t>w stosunku do ludzi i innych zwierząt, należy prowadzić na smyczy i w kagańcu.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6. Zwolnienie psa ze smyczy na terenach przeznaczonych do użytku publicznego jest dozwolone:</w:t>
      </w:r>
    </w:p>
    <w:p w:rsidR="00340C00" w:rsidRPr="00500CE2" w:rsidRDefault="00340C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na terenie ogrodzonych wybiegów dla psów;</w:t>
      </w:r>
    </w:p>
    <w:p w:rsidR="00340C00" w:rsidRPr="00500CE2" w:rsidRDefault="00340C0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w miejscach mało uczęszczanych przez ludzi; 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pod warunkiem, że pies ma założony kaganiec, a osoba, z którą przebywa w tym miejscu ma możliwość sprawowania nad nim pełnej kontroli. 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17. </w:t>
      </w:r>
      <w:r w:rsidRPr="00500CE2">
        <w:rPr>
          <w:rFonts w:ascii="Times New Roman" w:hAnsi="Times New Roman" w:cs="Times New Roman"/>
        </w:rPr>
        <w:t>Osoba utrzymująca zwierzę agresywne, w tym agresywnego psa, zobowiązana jest wyposażyć nieruchomość, na której zwierzę jest utrzymywane, przy każdym wejściu na teren nieruchomości, w: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1) urządzenie służące do przywołania właściciela nieruchomości;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2) widoczną tabliczkę ostrzegawczą, z czytelną informacją o utrzymywaniu zwierzęcia agresywnego, w tym psa agresywnego na terenie nieruchomości.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18. </w:t>
      </w:r>
      <w:r w:rsidRPr="00500CE2">
        <w:rPr>
          <w:rFonts w:ascii="Times New Roman" w:hAnsi="Times New Roman" w:cs="Times New Roman"/>
        </w:rPr>
        <w:t>1. Osoba, z którą przebywa zwierzę na terenach przeznaczonych do użytku publicznego, w szczególności takich jak drogi, chodniki, podwórka, parki i inne tereny zielone, zobowiązana jest do niezwłocznego usunięcia zanieczyszczeń pozostawionych przez zwierzę.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2. Odchody zwierząt należy umieszczać w koszach ulicznych lub pojemnikach na zmieszane odpady komunalne lub w specjalnie do tego celu przeznaczonych pojemnikach.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3. Obowiązki określone w ust. 1 i 2 nie dotyczą osób korzystających z pomocy psów asystujących.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6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 xml:space="preserve">Wymagania w zakresie utrzymywania zwierząt gospodarskich na terenach wyłączonych </w:t>
      </w:r>
      <w:r w:rsidRPr="00500CE2">
        <w:rPr>
          <w:rFonts w:ascii="Times New Roman" w:hAnsi="Times New Roman" w:cs="Times New Roman"/>
          <w:b/>
          <w:bCs/>
        </w:rPr>
        <w:br/>
        <w:t>z produkcji rolniczej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19. </w:t>
      </w:r>
      <w:r w:rsidRPr="00500CE2">
        <w:rPr>
          <w:rFonts w:ascii="Times New Roman" w:hAnsi="Times New Roman" w:cs="Times New Roman"/>
        </w:rPr>
        <w:t xml:space="preserve">1. Na terenach wyłączonych z produkcji rolniczej można utrzymywać konie </w:t>
      </w:r>
      <w:r w:rsidRPr="00500CE2">
        <w:rPr>
          <w:rFonts w:ascii="Times New Roman" w:hAnsi="Times New Roman" w:cs="Times New Roman"/>
        </w:rPr>
        <w:br/>
        <w:t>do celów rehabilitacyjnych, rekreacyjnych i sportowych, a także króliki oraz drób, pod warunkiem, że:</w:t>
      </w:r>
    </w:p>
    <w:p w:rsidR="00340C00" w:rsidRPr="00500CE2" w:rsidRDefault="00340C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utrzymywanym zwierzętom zostaną zapewnione odpowiednie pomieszczenia gospodarskie;</w:t>
      </w:r>
    </w:p>
    <w:p w:rsidR="00340C00" w:rsidRPr="00500CE2" w:rsidRDefault="00340C0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360" w:firstLine="0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utrzymywanie zwierząt nie będzie powodować uciążliwości dla otoczenia, </w:t>
      </w:r>
      <w:r w:rsidRPr="00500CE2">
        <w:rPr>
          <w:rFonts w:ascii="Times New Roman" w:hAnsi="Times New Roman" w:cs="Times New Roman"/>
        </w:rPr>
        <w:br/>
        <w:t>a w szczególności dla nieruchomości sąsiednich.</w:t>
      </w:r>
    </w:p>
    <w:p w:rsidR="00340C00" w:rsidRPr="00500CE2" w:rsidRDefault="00340C00">
      <w:pPr>
        <w:pStyle w:val="Tekstpodstawowy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 xml:space="preserve">2. W celach prowadzenia badań naukowych przez placówki naukowe i jednostki badawcze dopuszcza się utrzymanie również innych zwierząt gospodarskich, niż wymienione </w:t>
      </w:r>
      <w:r w:rsidRPr="00500CE2">
        <w:rPr>
          <w:rFonts w:ascii="Times New Roman" w:hAnsi="Times New Roman" w:cs="Times New Roman"/>
        </w:rPr>
        <w:br/>
        <w:t>w ustępie 1.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3. Zakazuje się utrzymywania koni na nieruchomościach wykorzystywanych na cele mieszkalne.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7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Obszary obowiązkowej deratyzacji i terminy jej przeprowadzania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20. </w:t>
      </w:r>
      <w:r w:rsidRPr="00500CE2">
        <w:rPr>
          <w:rFonts w:ascii="Times New Roman" w:hAnsi="Times New Roman" w:cs="Times New Roman"/>
        </w:rPr>
        <w:t xml:space="preserve">1. Na terenie Wrocławia obowiązkowej deratyzacji podlegają nieruchomości, </w:t>
      </w:r>
      <w:r w:rsidRPr="00500CE2">
        <w:rPr>
          <w:rFonts w:ascii="Times New Roman" w:hAnsi="Times New Roman" w:cs="Times New Roman"/>
        </w:rPr>
        <w:br/>
        <w:t>na których zlokalizowane są: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budynki wielolokalowe</w:t>
      </w:r>
      <w:r w:rsidR="00D82782">
        <w:rPr>
          <w:rFonts w:ascii="Times New Roman" w:hAnsi="Times New Roman" w:cs="Times New Roman"/>
        </w:rPr>
        <w:t xml:space="preserve"> </w:t>
      </w:r>
      <w:r w:rsidRPr="00C92D94">
        <w:rPr>
          <w:rFonts w:ascii="Times New Roman" w:hAnsi="Times New Roman" w:cs="Times New Roman"/>
        </w:rPr>
        <w:t>podpiwniczone</w:t>
      </w:r>
      <w:r w:rsidRPr="00500CE2">
        <w:rPr>
          <w:rFonts w:ascii="Times New Roman" w:hAnsi="Times New Roman" w:cs="Times New Roman"/>
        </w:rPr>
        <w:t>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lokale gastronomiczne wraz z terenem pod podwyższonymi podestami ogródków gastronomicznych;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obiekty handlowe branży spożywczej;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magazyny żywności i płodów rolnych;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gospodarstwa rolne i hodowlane;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zakłady przetwórstwa żywności;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szpitale;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hotele, internaty, domy akademickie i bursy;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obiekty, w których prowadzone jest zbiorowe żywienie;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lastRenderedPageBreak/>
        <w:t>wolnostojące komórki i pomieszczenia gospodarcze przynależne do zabudowy wielolokalowej;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wnętrza międzyblokowe oraz miejsca zbierania odpadów w zabudowie wielolokalowej na obszarze ścisłego centrum Wrocławia, tj. na obszarze ograniczonym rzeką Odrą, ul. Św. Ducha, ul. Frycza Modrzewskiego, ul. Podwale oraz ul. Sikorskiego;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obiekty, w których prowadzona jest działalność w zakresie zbierania lub przetwarzania odpadów;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schroniska dla zwierząt;</w:t>
      </w:r>
    </w:p>
    <w:p w:rsidR="00340C00" w:rsidRPr="00500CE2" w:rsidRDefault="00340C00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ogród zoologiczny.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2. Obowiązkowi deratyzacji podlegają również:</w:t>
      </w:r>
    </w:p>
    <w:p w:rsidR="00340C00" w:rsidRPr="00500CE2" w:rsidRDefault="00340C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sieć kanalizacji sanitarnej grawitacyjnej o średnicach od 500 mm, przebiegająca </w:t>
      </w:r>
      <w:r w:rsidRPr="00500CE2">
        <w:rPr>
          <w:rFonts w:ascii="Times New Roman" w:hAnsi="Times New Roman" w:cs="Times New Roman"/>
        </w:rPr>
        <w:br/>
        <w:t>w obrębach geodezyjnych: Plac Grunwaldzki, Południe, Gaj, Rakowiec, Tarnogaj, Borek, Grabiszyn;</w:t>
      </w:r>
    </w:p>
    <w:p w:rsidR="00340C00" w:rsidRPr="00500CE2" w:rsidRDefault="00340C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cała sieć kanalizacji sanitarnej i ogólnospławnej w obrębie Stare Miasto wraz ze studniami i wpustami deszczowymi;</w:t>
      </w:r>
    </w:p>
    <w:p w:rsidR="00340C00" w:rsidRPr="00500CE2" w:rsidRDefault="00340C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studnie telekomunikacyjne i ciepłownicze w obrębie Stare Miasto;</w:t>
      </w:r>
    </w:p>
    <w:p w:rsidR="00340C00" w:rsidRPr="00500CE2" w:rsidRDefault="00340C00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teren Fosy Miejskiej.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ab/>
        <w:t>3. Obowiązkową deratyzację przeprowadza się:</w:t>
      </w:r>
    </w:p>
    <w:p w:rsidR="00340C00" w:rsidRPr="00500CE2" w:rsidRDefault="00340C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trzykrotnie w ciągu roku na obszarze ścisłego centrum Wrocławia, tj. na obszarze ograniczonym rzeką Odrą, ul. Św. Ducha, ul. Frycza Modrzewskiego, ul. Podwale oraz </w:t>
      </w:r>
      <w:r w:rsidRPr="00500CE2">
        <w:rPr>
          <w:rFonts w:ascii="Times New Roman" w:hAnsi="Times New Roman" w:cs="Times New Roman"/>
        </w:rPr>
        <w:br/>
        <w:t xml:space="preserve">ul. Sikorskiego w terminach: </w:t>
      </w:r>
    </w:p>
    <w:p w:rsidR="00340C00" w:rsidRPr="00500CE2" w:rsidRDefault="00340C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 15 marca do 1 kwietnia,</w:t>
      </w:r>
    </w:p>
    <w:p w:rsidR="00340C00" w:rsidRPr="00500CE2" w:rsidRDefault="00340C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 1 lipca do 15 lipca,</w:t>
      </w:r>
    </w:p>
    <w:p w:rsidR="00340C00" w:rsidRPr="00500CE2" w:rsidRDefault="00340C0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od 15 listopada do 1 grudnia;</w:t>
      </w:r>
    </w:p>
    <w:p w:rsidR="00340C00" w:rsidRPr="00500CE2" w:rsidRDefault="00340C00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dwukrotnie w ciągu roku na pozostałym terenie Wrocławia w terminach: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>a) od 15 marca do 1 kwietnia,</w:t>
      </w:r>
    </w:p>
    <w:p w:rsidR="00340C00" w:rsidRPr="00500CE2" w:rsidRDefault="00340C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</w:rPr>
        <w:t xml:space="preserve">b) od 15 listopada do 1 grudnia. 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Rozdział 8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00CE2">
        <w:rPr>
          <w:rFonts w:ascii="Times New Roman" w:hAnsi="Times New Roman" w:cs="Times New Roman"/>
          <w:b/>
          <w:bCs/>
        </w:rPr>
        <w:t>Przepisy epizodyczne i końcowe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pl-PL"/>
        </w:rPr>
      </w:pPr>
      <w:r w:rsidRPr="00500CE2">
        <w:rPr>
          <w:rFonts w:ascii="Times New Roman" w:hAnsi="Times New Roman" w:cs="Times New Roman"/>
          <w:b/>
          <w:bCs/>
          <w:color w:val="000000"/>
          <w:lang w:eastAsia="pl-PL"/>
        </w:rPr>
        <w:t xml:space="preserve">§ 21. </w:t>
      </w:r>
      <w:r w:rsidRPr="00500CE2">
        <w:rPr>
          <w:rFonts w:ascii="Times New Roman" w:hAnsi="Times New Roman" w:cs="Times New Roman"/>
          <w:lang w:eastAsia="pl-PL"/>
        </w:rPr>
        <w:t xml:space="preserve">1. W okresie do 31 grudnia 2016 r. odpady zielone z nieruchomości, na których prowadzone jest selektywne zbieranie odpadów, przekazuje się do odebrania co najmniej raz na dwa tygodnie, z tym że w przypadku budynków wielolokalowych w okresie od kwietnia do października co najmniej raz w tygodniu. W okresie tym do zbierania odpadów zielonych </w:t>
      </w:r>
      <w:r w:rsidRPr="00500CE2">
        <w:rPr>
          <w:rFonts w:ascii="Times New Roman" w:hAnsi="Times New Roman" w:cs="Times New Roman"/>
          <w:color w:val="000000"/>
          <w:lang w:eastAsia="pl-PL"/>
        </w:rPr>
        <w:t>stosuje się szczelne i zawiązywane worki o minimalnej pojemności 60 l.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  <w:lang w:eastAsia="pl-PL"/>
        </w:rPr>
      </w:pPr>
      <w:r w:rsidRPr="00500CE2">
        <w:rPr>
          <w:rFonts w:ascii="Times New Roman" w:hAnsi="Times New Roman" w:cs="Times New Roman"/>
          <w:lang w:eastAsia="pl-PL"/>
        </w:rPr>
        <w:t xml:space="preserve">2. </w:t>
      </w:r>
      <w:r w:rsidRPr="00500CE2">
        <w:rPr>
          <w:rFonts w:ascii="Times New Roman" w:hAnsi="Times New Roman" w:cs="Times New Roman"/>
          <w:shd w:val="clear" w:color="auto" w:fill="FFFFFF"/>
          <w:lang w:eastAsia="pl-PL"/>
        </w:rPr>
        <w:t>W okresie do 31 grudnia 2016 r. odpady wielkogabarytowe przekazuje się do odebrania z terenu nieruchomości co najmniej raz na 6 miesięcy w przypadku nieruchomości zabudowanych budynkiem, w którym znajdują się nie więcej niż 4 lokale, a w przypadku nieruchomości zabudowanych budynkiem, w którym znajdują się więcej niż 4 lokale, co najmniej raz na 2 miesiące.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pl-PL"/>
        </w:rPr>
      </w:pPr>
      <w:r w:rsidRPr="00500CE2">
        <w:rPr>
          <w:rFonts w:ascii="Times New Roman" w:hAnsi="Times New Roman" w:cs="Times New Roman"/>
          <w:lang w:eastAsia="pl-PL"/>
        </w:rPr>
        <w:t>3. W okresie do 31 grudnia 2016 r. właściciele nieruchomości pozbywają się odpadów szkła poprzez umieszczenie tych odpadów w ustawianych przez Gminę Wrocław ogólnodostępnych pojemnikach lub poprzez przekazanie ich do punktu selektywnego zbierania odpadów komunalnych. W okresie tym odpady szkła w przypadku szkła bezbarwnego zbiera się w pojemnikach oznaczonych kolorem białym, a w pozostałych przypadkach w pojemnikach oznaczonych kolorem zielonym.</w:t>
      </w:r>
    </w:p>
    <w:p w:rsidR="00340C00" w:rsidRPr="00500CE2" w:rsidRDefault="00340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40C00" w:rsidRPr="00500CE2" w:rsidRDefault="0034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00CE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§ 22. </w:t>
      </w:r>
      <w:r w:rsidRPr="00500CE2">
        <w:rPr>
          <w:rFonts w:ascii="Times New Roman" w:hAnsi="Times New Roman" w:cs="Times New Roman"/>
          <w:sz w:val="22"/>
          <w:szCs w:val="22"/>
        </w:rPr>
        <w:t>Traci moc uchwała nr XXXV/780/12 Rady Miejskiej Wrocławia z dnia 29 listopada 2012 r. w sprawie ustalenia regulaminu utrzymania czystości i porządku na terenie Wrocławia (Dz. Urz. Woj. Doln. z 2013 r. poz. 4428).</w:t>
      </w:r>
    </w:p>
    <w:p w:rsidR="00340C00" w:rsidRPr="00500CE2" w:rsidRDefault="00340C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40C00" w:rsidRPr="00500CE2" w:rsidRDefault="00340C0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00CE2">
        <w:rPr>
          <w:rFonts w:ascii="Times New Roman" w:hAnsi="Times New Roman" w:cs="Times New Roman"/>
          <w:sz w:val="22"/>
          <w:szCs w:val="22"/>
        </w:rPr>
        <w:tab/>
      </w:r>
      <w:r w:rsidRPr="00500CE2">
        <w:rPr>
          <w:rFonts w:ascii="Times New Roman" w:hAnsi="Times New Roman" w:cs="Times New Roman"/>
          <w:b/>
          <w:bCs/>
          <w:sz w:val="22"/>
          <w:szCs w:val="22"/>
        </w:rPr>
        <w:t xml:space="preserve">§ 23. </w:t>
      </w:r>
      <w:r w:rsidRPr="00500CE2">
        <w:rPr>
          <w:rFonts w:ascii="Times New Roman" w:hAnsi="Times New Roman" w:cs="Times New Roman"/>
          <w:sz w:val="22"/>
          <w:szCs w:val="22"/>
        </w:rPr>
        <w:t xml:space="preserve">Wykonanie uchwały powierza się Prezydentowi Wrocławia. </w:t>
      </w:r>
    </w:p>
    <w:p w:rsidR="00340C00" w:rsidRPr="00500CE2" w:rsidRDefault="00340C0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40C00" w:rsidRPr="00500CE2" w:rsidRDefault="00340C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CE2">
        <w:rPr>
          <w:rFonts w:ascii="Times New Roman" w:hAnsi="Times New Roman" w:cs="Times New Roman"/>
          <w:b/>
          <w:bCs/>
        </w:rPr>
        <w:tab/>
        <w:t xml:space="preserve">§ 24. </w:t>
      </w:r>
      <w:r w:rsidRPr="00500CE2">
        <w:rPr>
          <w:rFonts w:ascii="Times New Roman" w:hAnsi="Times New Roman" w:cs="Times New Roman"/>
        </w:rPr>
        <w:t>Uchwała wchodzi w życie po upływie 14 dni od dnia jej ogłoszenia w Dzienniku Urzędowym Województwa Dolnośląskiego.</w:t>
      </w:r>
    </w:p>
    <w:p w:rsidR="00340C00" w:rsidRDefault="00340C0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40C00" w:rsidSect="00340C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2A" w:rsidRDefault="008B7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8B7F2A" w:rsidRDefault="008B7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C00" w:rsidRDefault="00340C00">
    <w:pPr>
      <w:pStyle w:val="Stopka"/>
      <w:jc w:val="right"/>
      <w:rPr>
        <w:rFonts w:ascii="Times New Roman" w:hAnsi="Times New Roman" w:cs="Times New Roman"/>
      </w:rPr>
    </w:pPr>
  </w:p>
  <w:p w:rsidR="00340C00" w:rsidRDefault="00340C00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2A" w:rsidRDefault="008B7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8B7F2A" w:rsidRDefault="008B7F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296"/>
    <w:multiLevelType w:val="hybridMultilevel"/>
    <w:tmpl w:val="6E02A05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8AF4A82"/>
    <w:multiLevelType w:val="hybridMultilevel"/>
    <w:tmpl w:val="4D866700"/>
    <w:lvl w:ilvl="0" w:tplc="04150011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2">
    <w:nsid w:val="0C733A78"/>
    <w:multiLevelType w:val="hybridMultilevel"/>
    <w:tmpl w:val="8EC6E5F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E527FEE"/>
    <w:multiLevelType w:val="hybridMultilevel"/>
    <w:tmpl w:val="C674E46A"/>
    <w:lvl w:ilvl="0" w:tplc="6DBC2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BC80460"/>
    <w:multiLevelType w:val="hybridMultilevel"/>
    <w:tmpl w:val="1E44655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1D6E4310"/>
    <w:multiLevelType w:val="hybridMultilevel"/>
    <w:tmpl w:val="17FC7DC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6">
    <w:nsid w:val="204F38A6"/>
    <w:multiLevelType w:val="hybridMultilevel"/>
    <w:tmpl w:val="6426759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149" w:hanging="360"/>
      </w:pPr>
      <w:rPr>
        <w:rFonts w:ascii="Times New Roman" w:hAnsi="Times New Roman" w:cs="Times New Roman"/>
      </w:rPr>
    </w:lvl>
    <w:lvl w:ilvl="2" w:tplc="B8562F5A">
      <w:start w:val="1"/>
      <w:numFmt w:val="decimal"/>
      <w:lvlText w:val="%3."/>
      <w:lvlJc w:val="left"/>
      <w:pPr>
        <w:ind w:left="3049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7">
    <w:nsid w:val="2142299D"/>
    <w:multiLevelType w:val="hybridMultilevel"/>
    <w:tmpl w:val="275075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45467E6"/>
    <w:multiLevelType w:val="hybridMultilevel"/>
    <w:tmpl w:val="478AFBC8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95C756B"/>
    <w:multiLevelType w:val="hybridMultilevel"/>
    <w:tmpl w:val="6EB46AA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0">
    <w:nsid w:val="2A216F18"/>
    <w:multiLevelType w:val="hybridMultilevel"/>
    <w:tmpl w:val="95045DB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AD02CD1"/>
    <w:multiLevelType w:val="hybridMultilevel"/>
    <w:tmpl w:val="23AE56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12">
    <w:nsid w:val="2B3377DB"/>
    <w:multiLevelType w:val="hybridMultilevel"/>
    <w:tmpl w:val="2DE28ED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2F1A7BF0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2BE40296"/>
    <w:multiLevelType w:val="hybridMultilevel"/>
    <w:tmpl w:val="9BB4E9FC"/>
    <w:lvl w:ilvl="0" w:tplc="210AE93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4">
    <w:nsid w:val="2E425799"/>
    <w:multiLevelType w:val="hybridMultilevel"/>
    <w:tmpl w:val="D4A41CB2"/>
    <w:lvl w:ilvl="0" w:tplc="3A46FB9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D83CEE0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34FB50F6"/>
    <w:multiLevelType w:val="hybridMultilevel"/>
    <w:tmpl w:val="5FF2647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356F2765"/>
    <w:multiLevelType w:val="hybridMultilevel"/>
    <w:tmpl w:val="80E2E920"/>
    <w:lvl w:ilvl="0" w:tplc="7B4A5B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4231145F"/>
    <w:multiLevelType w:val="hybridMultilevel"/>
    <w:tmpl w:val="7ED2C93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>
    <w:nsid w:val="43654803"/>
    <w:multiLevelType w:val="hybridMultilevel"/>
    <w:tmpl w:val="81EA6E9C"/>
    <w:lvl w:ilvl="0" w:tplc="E8127AE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>
    <w:nsid w:val="43E4392A"/>
    <w:multiLevelType w:val="hybridMultilevel"/>
    <w:tmpl w:val="7EC60C56"/>
    <w:lvl w:ilvl="0" w:tplc="04150011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ascii="Times New Roman" w:hAnsi="Times New Roman" w:cs="Times New Roman"/>
      </w:rPr>
    </w:lvl>
  </w:abstractNum>
  <w:abstractNum w:abstractNumId="20">
    <w:nsid w:val="471775B8"/>
    <w:multiLevelType w:val="hybridMultilevel"/>
    <w:tmpl w:val="012C3E56"/>
    <w:lvl w:ilvl="0" w:tplc="133E7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841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4D0792D"/>
    <w:multiLevelType w:val="hybridMultilevel"/>
    <w:tmpl w:val="EA4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69961D7"/>
    <w:multiLevelType w:val="hybridMultilevel"/>
    <w:tmpl w:val="79C27A7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577D0FAC"/>
    <w:multiLevelType w:val="hybridMultilevel"/>
    <w:tmpl w:val="BF70DF5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>
    <w:nsid w:val="6715514D"/>
    <w:multiLevelType w:val="hybridMultilevel"/>
    <w:tmpl w:val="1C7E9188"/>
    <w:lvl w:ilvl="0" w:tplc="9828C01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5">
    <w:nsid w:val="6ED3571E"/>
    <w:multiLevelType w:val="hybridMultilevel"/>
    <w:tmpl w:val="1FB4B050"/>
    <w:lvl w:ilvl="0" w:tplc="7DE8B28C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6">
    <w:nsid w:val="71AD5812"/>
    <w:multiLevelType w:val="hybridMultilevel"/>
    <w:tmpl w:val="E8D6193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7">
    <w:nsid w:val="759764BD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77B07B78"/>
    <w:multiLevelType w:val="hybridMultilevel"/>
    <w:tmpl w:val="421239A8"/>
    <w:lvl w:ilvl="0" w:tplc="622809F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>
    <w:nsid w:val="787F67D8"/>
    <w:multiLevelType w:val="hybridMultilevel"/>
    <w:tmpl w:val="40C4F392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>
    <w:nsid w:val="7F694177"/>
    <w:multiLevelType w:val="hybridMultilevel"/>
    <w:tmpl w:val="A210B4E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7"/>
  </w:num>
  <w:num w:numId="5">
    <w:abstractNumId w:val="24"/>
  </w:num>
  <w:num w:numId="6">
    <w:abstractNumId w:val="29"/>
  </w:num>
  <w:num w:numId="7">
    <w:abstractNumId w:val="12"/>
  </w:num>
  <w:num w:numId="8">
    <w:abstractNumId w:val="11"/>
  </w:num>
  <w:num w:numId="9">
    <w:abstractNumId w:val="9"/>
  </w:num>
  <w:num w:numId="10">
    <w:abstractNumId w:val="3"/>
  </w:num>
  <w:num w:numId="11">
    <w:abstractNumId w:val="15"/>
  </w:num>
  <w:num w:numId="12">
    <w:abstractNumId w:val="21"/>
  </w:num>
  <w:num w:numId="13">
    <w:abstractNumId w:val="23"/>
  </w:num>
  <w:num w:numId="14">
    <w:abstractNumId w:val="1"/>
  </w:num>
  <w:num w:numId="15">
    <w:abstractNumId w:val="22"/>
  </w:num>
  <w:num w:numId="16">
    <w:abstractNumId w:val="8"/>
  </w:num>
  <w:num w:numId="17">
    <w:abstractNumId w:val="17"/>
  </w:num>
  <w:num w:numId="18">
    <w:abstractNumId w:val="4"/>
  </w:num>
  <w:num w:numId="19">
    <w:abstractNumId w:val="26"/>
  </w:num>
  <w:num w:numId="20">
    <w:abstractNumId w:val="27"/>
  </w:num>
  <w:num w:numId="21">
    <w:abstractNumId w:val="2"/>
  </w:num>
  <w:num w:numId="22">
    <w:abstractNumId w:val="10"/>
  </w:num>
  <w:num w:numId="23">
    <w:abstractNumId w:val="16"/>
  </w:num>
  <w:num w:numId="24">
    <w:abstractNumId w:val="20"/>
  </w:num>
  <w:num w:numId="25">
    <w:abstractNumId w:val="30"/>
  </w:num>
  <w:num w:numId="26">
    <w:abstractNumId w:val="5"/>
  </w:num>
  <w:num w:numId="27">
    <w:abstractNumId w:val="13"/>
  </w:num>
  <w:num w:numId="28">
    <w:abstractNumId w:val="25"/>
  </w:num>
  <w:num w:numId="29">
    <w:abstractNumId w:val="0"/>
  </w:num>
  <w:num w:numId="30">
    <w:abstractNumId w:val="18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340C00"/>
    <w:rsid w:val="000065D7"/>
    <w:rsid w:val="00030236"/>
    <w:rsid w:val="000507A0"/>
    <w:rsid w:val="00080556"/>
    <w:rsid w:val="001934FB"/>
    <w:rsid w:val="001F4B86"/>
    <w:rsid w:val="00213D78"/>
    <w:rsid w:val="002D711B"/>
    <w:rsid w:val="002E2AD8"/>
    <w:rsid w:val="00330AAE"/>
    <w:rsid w:val="00340C00"/>
    <w:rsid w:val="00353BE9"/>
    <w:rsid w:val="003728D3"/>
    <w:rsid w:val="003B0571"/>
    <w:rsid w:val="003C28AE"/>
    <w:rsid w:val="0048688F"/>
    <w:rsid w:val="004A6F73"/>
    <w:rsid w:val="004C31FA"/>
    <w:rsid w:val="004C4404"/>
    <w:rsid w:val="004D1F31"/>
    <w:rsid w:val="00500CE2"/>
    <w:rsid w:val="005272C9"/>
    <w:rsid w:val="00541A39"/>
    <w:rsid w:val="0062345C"/>
    <w:rsid w:val="00662C5E"/>
    <w:rsid w:val="00691306"/>
    <w:rsid w:val="006B0FF8"/>
    <w:rsid w:val="00766F45"/>
    <w:rsid w:val="00785B6C"/>
    <w:rsid w:val="007B37E0"/>
    <w:rsid w:val="007D0A43"/>
    <w:rsid w:val="008604E1"/>
    <w:rsid w:val="008915EB"/>
    <w:rsid w:val="008B7F2A"/>
    <w:rsid w:val="0090748B"/>
    <w:rsid w:val="0093701E"/>
    <w:rsid w:val="00952AF7"/>
    <w:rsid w:val="009D1503"/>
    <w:rsid w:val="00A26984"/>
    <w:rsid w:val="00A334BA"/>
    <w:rsid w:val="00AC7397"/>
    <w:rsid w:val="00B05219"/>
    <w:rsid w:val="00B70121"/>
    <w:rsid w:val="00BC2B8B"/>
    <w:rsid w:val="00C53582"/>
    <w:rsid w:val="00C639BE"/>
    <w:rsid w:val="00C75B7A"/>
    <w:rsid w:val="00C92D94"/>
    <w:rsid w:val="00CD3C1B"/>
    <w:rsid w:val="00D13235"/>
    <w:rsid w:val="00D430A6"/>
    <w:rsid w:val="00D638CF"/>
    <w:rsid w:val="00D82782"/>
    <w:rsid w:val="00DB5117"/>
    <w:rsid w:val="00DE65C7"/>
    <w:rsid w:val="00EB6827"/>
    <w:rsid w:val="00F5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AF7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52AF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2A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52AF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52AF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AF7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5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52AF7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rsid w:val="00952AF7"/>
    <w:rPr>
      <w:rFonts w:ascii="Calibri" w:hAnsi="Calibri" w:cs="Calibri"/>
      <w:lang w:eastAsia="en-US"/>
    </w:rPr>
  </w:style>
  <w:style w:type="paragraph" w:customStyle="1" w:styleId="divpoint">
    <w:name w:val="div.point"/>
    <w:uiPriority w:val="99"/>
    <w:rsid w:val="00952AF7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952AF7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pl-PL"/>
    </w:rPr>
  </w:style>
  <w:style w:type="paragraph" w:customStyle="1" w:styleId="divpkt">
    <w:name w:val="div.pkt"/>
    <w:uiPriority w:val="99"/>
    <w:rsid w:val="00952AF7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952AF7"/>
    <w:pPr>
      <w:ind w:left="720"/>
    </w:pPr>
  </w:style>
  <w:style w:type="paragraph" w:customStyle="1" w:styleId="Default">
    <w:name w:val="Default"/>
    <w:uiPriority w:val="99"/>
    <w:rsid w:val="00952AF7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AF7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AF7"/>
    <w:rPr>
      <w:rFonts w:ascii="Times New Roman" w:hAnsi="Times New Roman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95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AF7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952A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2AF7"/>
    <w:rPr>
      <w:rFonts w:ascii="Times New Roman" w:hAnsi="Times New Roman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952AF7"/>
    <w:rPr>
      <w:rFonts w:ascii="Times New Roman" w:hAnsi="Times New Roman"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952AF7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952AF7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52AF7"/>
    <w:pPr>
      <w:spacing w:after="0" w:line="240" w:lineRule="auto"/>
    </w:pPr>
    <w:rPr>
      <w:rFonts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2AF7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952AF7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2AF7"/>
    <w:pPr>
      <w:autoSpaceDE w:val="0"/>
      <w:autoSpaceDN w:val="0"/>
      <w:adjustRightInd w:val="0"/>
      <w:spacing w:after="0" w:line="240" w:lineRule="auto"/>
      <w:jc w:val="both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C00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AF7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952AF7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952A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952AF7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52AF7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AF7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5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952AF7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rsid w:val="00952AF7"/>
    <w:rPr>
      <w:rFonts w:ascii="Calibri" w:hAnsi="Calibri" w:cs="Calibri"/>
      <w:lang w:eastAsia="en-US"/>
    </w:rPr>
  </w:style>
  <w:style w:type="paragraph" w:customStyle="1" w:styleId="divpoint">
    <w:name w:val="div.point"/>
    <w:uiPriority w:val="99"/>
    <w:rsid w:val="00952AF7"/>
    <w:pPr>
      <w:widowControl w:val="0"/>
      <w:autoSpaceDE w:val="0"/>
      <w:autoSpaceDN w:val="0"/>
      <w:adjustRightInd w:val="0"/>
      <w:spacing w:line="40" w:lineRule="atLeast"/>
      <w:ind w:left="120"/>
    </w:pPr>
    <w:rPr>
      <w:rFonts w:ascii="Arial" w:hAnsi="Arial" w:cs="Arial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952AF7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pl-PL"/>
    </w:rPr>
  </w:style>
  <w:style w:type="paragraph" w:customStyle="1" w:styleId="divpkt">
    <w:name w:val="div.pkt"/>
    <w:uiPriority w:val="99"/>
    <w:rsid w:val="00952AF7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952AF7"/>
    <w:pPr>
      <w:ind w:left="720"/>
    </w:pPr>
  </w:style>
  <w:style w:type="paragraph" w:customStyle="1" w:styleId="Default">
    <w:name w:val="Default"/>
    <w:uiPriority w:val="99"/>
    <w:rsid w:val="00952AF7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AF7"/>
    <w:rPr>
      <w:rFonts w:ascii="Times New Roman" w:hAnsi="Times New Roman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2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AF7"/>
    <w:rPr>
      <w:rFonts w:ascii="Times New Roman" w:hAnsi="Times New Roman" w:cs="Times New Roman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rsid w:val="00952A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52AF7"/>
    <w:rPr>
      <w:rFonts w:ascii="Arial Unicode MS" w:eastAsia="Arial Unicode MS" w:hAnsi="Arial Unicode MS" w:cs="Arial Unicode MS"/>
    </w:rPr>
  </w:style>
  <w:style w:type="paragraph" w:styleId="Tekstprzypisukocowego">
    <w:name w:val="endnote text"/>
    <w:basedOn w:val="Normalny"/>
    <w:link w:val="TekstprzypisukocowegoZnak"/>
    <w:uiPriority w:val="99"/>
    <w:rsid w:val="00952A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52AF7"/>
    <w:rPr>
      <w:rFonts w:ascii="Times New Roman" w:hAnsi="Times New Roman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952AF7"/>
    <w:rPr>
      <w:rFonts w:ascii="Times New Roman" w:hAnsi="Times New Roman"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952AF7"/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952AF7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52AF7"/>
    <w:pPr>
      <w:spacing w:after="0" w:line="240" w:lineRule="auto"/>
    </w:pPr>
    <w:rPr>
      <w:rFonts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52AF7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952AF7"/>
    <w:rPr>
      <w:rFonts w:ascii="Times New Roman" w:hAnsi="Times New Roman"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952AF7"/>
    <w:pPr>
      <w:autoSpaceDE w:val="0"/>
      <w:autoSpaceDN w:val="0"/>
      <w:adjustRightInd w:val="0"/>
      <w:spacing w:after="0" w:line="240" w:lineRule="auto"/>
      <w:jc w:val="both"/>
    </w:pPr>
    <w:rPr>
      <w:rFonts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40C00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3B5B-7D37-4907-930B-C87A5497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3017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Microsoft</Company>
  <LinksUpToDate>false</LinksUpToDate>
  <CharactersWithSpaces>21077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Magdalena Ciechanowska</dc:creator>
  <cp:lastModifiedBy>umalni01</cp:lastModifiedBy>
  <cp:revision>4</cp:revision>
  <cp:lastPrinted>2016-02-24T11:06:00Z</cp:lastPrinted>
  <dcterms:created xsi:type="dcterms:W3CDTF">2016-02-29T12:48:00Z</dcterms:created>
  <dcterms:modified xsi:type="dcterms:W3CDTF">2016-03-01T08:22:00Z</dcterms:modified>
</cp:coreProperties>
</file>