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A1" w:rsidRDefault="008132A1" w:rsidP="008C172B">
      <w:pPr>
        <w:spacing w:line="240" w:lineRule="auto"/>
        <w:jc w:val="center"/>
        <w:rPr>
          <w:b/>
        </w:rPr>
      </w:pPr>
      <w:r w:rsidRPr="008132A1">
        <w:rPr>
          <w:b/>
          <w:noProof/>
          <w:lang w:eastAsia="pl-PL"/>
        </w:rPr>
        <w:drawing>
          <wp:inline distT="0" distB="0" distL="0" distR="0">
            <wp:extent cx="5759450" cy="990054"/>
            <wp:effectExtent l="19050" t="0" r="0" b="0"/>
            <wp:docPr id="1"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59450" cy="990054"/>
                    </a:xfrm>
                    <a:prstGeom prst="rect">
                      <a:avLst/>
                    </a:prstGeom>
                    <a:noFill/>
                    <a:ln w="9525">
                      <a:noFill/>
                      <a:miter lim="800000"/>
                      <a:headEnd/>
                      <a:tailEnd/>
                    </a:ln>
                  </pic:spPr>
                </pic:pic>
              </a:graphicData>
            </a:graphic>
          </wp:inline>
        </w:drawing>
      </w:r>
    </w:p>
    <w:p w:rsidR="00735F4F" w:rsidRPr="00735F4F" w:rsidRDefault="00735F4F" w:rsidP="00735F4F">
      <w:pPr>
        <w:spacing w:after="0" w:line="240" w:lineRule="auto"/>
        <w:rPr>
          <w:b/>
          <w:sz w:val="20"/>
          <w:szCs w:val="20"/>
        </w:rPr>
      </w:pPr>
      <w:r w:rsidRPr="00735F4F">
        <w:rPr>
          <w:b/>
          <w:sz w:val="20"/>
          <w:szCs w:val="20"/>
        </w:rPr>
        <w:t>Załącznik nr 5 do Regulaminu Konkursu</w:t>
      </w:r>
    </w:p>
    <w:p w:rsidR="00735F4F" w:rsidRPr="00735F4F" w:rsidRDefault="00735F4F" w:rsidP="00735F4F">
      <w:pPr>
        <w:spacing w:after="0" w:line="240" w:lineRule="auto"/>
        <w:rPr>
          <w:b/>
          <w:sz w:val="18"/>
          <w:szCs w:val="18"/>
        </w:rPr>
      </w:pPr>
    </w:p>
    <w:p w:rsidR="00287411" w:rsidRDefault="009A6CB2" w:rsidP="008C172B">
      <w:pPr>
        <w:spacing w:line="240" w:lineRule="auto"/>
        <w:jc w:val="center"/>
        <w:rPr>
          <w:b/>
        </w:rPr>
      </w:pPr>
      <w:r>
        <w:rPr>
          <w:b/>
        </w:rPr>
        <w:t>WYKAZ</w:t>
      </w:r>
      <w:r w:rsidR="008C172B" w:rsidRPr="008C172B">
        <w:rPr>
          <w:b/>
        </w:rPr>
        <w:t xml:space="preserve"> </w:t>
      </w:r>
      <w:r w:rsidR="00765313">
        <w:rPr>
          <w:b/>
        </w:rPr>
        <w:t xml:space="preserve">PRZYKŁADOWYCH </w:t>
      </w:r>
      <w:bookmarkStart w:id="0" w:name="_GoBack"/>
      <w:bookmarkEnd w:id="0"/>
      <w:r w:rsidR="003511C4">
        <w:rPr>
          <w:b/>
        </w:rPr>
        <w:t>KOSZTÓW</w:t>
      </w:r>
      <w:r w:rsidR="008C172B" w:rsidRPr="008C172B">
        <w:rPr>
          <w:b/>
        </w:rPr>
        <w:t xml:space="preserve"> KWALIFIKOWALNYCH</w:t>
      </w:r>
      <w:r w:rsidR="00901FCD">
        <w:rPr>
          <w:b/>
        </w:rPr>
        <w:t xml:space="preserve"> 1.2 </w:t>
      </w:r>
      <w:r w:rsidR="0033343F">
        <w:rPr>
          <w:b/>
        </w:rPr>
        <w:t>B</w:t>
      </w:r>
    </w:p>
    <w:p w:rsidR="00DD64CE" w:rsidRDefault="00DD64CE" w:rsidP="00DD64CE">
      <w:pPr>
        <w:spacing w:line="240" w:lineRule="auto"/>
        <w:jc w:val="both"/>
        <w:rPr>
          <w:rFonts w:ascii="Calibri" w:hAnsi="Calibri"/>
        </w:rPr>
      </w:pPr>
      <w:r>
        <w:rPr>
          <w:rFonts w:ascii="Calibri" w:hAnsi="Calibri"/>
        </w:rPr>
        <w:t xml:space="preserve">Wykaz z uwagi na rozbudowane zapisy w tej kwestii nie zawiera wszystkich szczegółowych uregulowań odnoszących się do określonego wydatku. W takim przypadku beneficjent zostanie odesłany do odpowiedniego dokumentu.  </w:t>
      </w:r>
    </w:p>
    <w:p w:rsidR="00DD64CE" w:rsidRDefault="00DD64CE" w:rsidP="00DD64CE">
      <w:pPr>
        <w:jc w:val="both"/>
        <w:rPr>
          <w:rFonts w:ascii="Calibri" w:hAnsi="Calibri"/>
        </w:rPr>
      </w:pPr>
      <w:r>
        <w:rPr>
          <w:rFonts w:ascii="Calibri" w:hAnsi="Calibri"/>
        </w:rPr>
        <w:t>Wykaz wydatków kwalifikowalnych został przygotowany na podstawie:</w:t>
      </w:r>
    </w:p>
    <w:p w:rsidR="00DD64CE" w:rsidRPr="001A666B" w:rsidRDefault="00DD64CE" w:rsidP="005F692F">
      <w:pPr>
        <w:pStyle w:val="Default"/>
        <w:numPr>
          <w:ilvl w:val="0"/>
          <w:numId w:val="26"/>
        </w:numPr>
        <w:ind w:left="426" w:hanging="426"/>
        <w:jc w:val="both"/>
        <w:rPr>
          <w:rFonts w:asciiTheme="minorHAnsi" w:hAnsiTheme="minorHAnsi" w:cs="EUAlbertina"/>
          <w:sz w:val="22"/>
          <w:szCs w:val="22"/>
        </w:rPr>
      </w:pPr>
      <w:r w:rsidRPr="001A666B">
        <w:rPr>
          <w:rFonts w:asciiTheme="minorHAnsi" w:hAnsiTheme="minorHAnsi"/>
          <w:sz w:val="22"/>
          <w:szCs w:val="22"/>
        </w:rPr>
        <w:t xml:space="preserve">Rozporządzenia Parlamentu  Europejskiego  i  Rady  (UE) nr 1303/2013 z dnia 17 grudnia 2013 r. </w:t>
      </w:r>
      <w:r w:rsidR="001A666B" w:rsidRPr="001A666B">
        <w:rPr>
          <w:rFonts w:asciiTheme="minorHAnsi" w:hAnsiTheme="minorHAnsi" w:cs="EUAlbertina"/>
          <w:bCs/>
          <w:sz w:val="22"/>
          <w:szCs w:val="22"/>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1A666B">
        <w:rPr>
          <w:rFonts w:asciiTheme="minorHAnsi" w:hAnsiTheme="minorHAnsi" w:cs="EUAlbertina"/>
          <w:bCs/>
          <w:sz w:val="22"/>
          <w:szCs w:val="22"/>
        </w:rPr>
        <w:t>,</w:t>
      </w:r>
    </w:p>
    <w:p w:rsidR="00DD64CE" w:rsidRPr="001A666B" w:rsidRDefault="00DD64CE" w:rsidP="005F692F">
      <w:pPr>
        <w:pStyle w:val="Akapitzlist"/>
        <w:numPr>
          <w:ilvl w:val="0"/>
          <w:numId w:val="26"/>
        </w:numPr>
        <w:autoSpaceDE w:val="0"/>
        <w:autoSpaceDN w:val="0"/>
        <w:adjustRightInd w:val="0"/>
        <w:spacing w:after="0" w:line="240" w:lineRule="auto"/>
        <w:ind w:left="426" w:hanging="426"/>
        <w:jc w:val="both"/>
      </w:pPr>
      <w:r w:rsidRPr="001A666B">
        <w:t xml:space="preserve">Rozporządzenia Komisji (UE) Nr 651/2014 z dnia 17 czerwca 2014 r. </w:t>
      </w:r>
      <w:r w:rsidR="001A666B" w:rsidRPr="001A666B">
        <w:rPr>
          <w:rFonts w:cs="EUAlbertina-Bold"/>
          <w:bCs/>
        </w:rPr>
        <w:t>uznające niektóre rodzaje pomocy za zgodne z rynkiem wewnętrznym w zastosowaniu art. 107 i 108 Traktatu</w:t>
      </w:r>
      <w:r w:rsidR="001A666B">
        <w:rPr>
          <w:rFonts w:cs="EUAlbertina-Bold"/>
          <w:bCs/>
        </w:rPr>
        <w:t>,</w:t>
      </w:r>
    </w:p>
    <w:p w:rsidR="00DD64CE" w:rsidRPr="00BD3A80" w:rsidRDefault="00DD64CE" w:rsidP="005F692F">
      <w:pPr>
        <w:pStyle w:val="Akapitzlist"/>
        <w:numPr>
          <w:ilvl w:val="0"/>
          <w:numId w:val="26"/>
        </w:numPr>
        <w:ind w:left="426" w:hanging="426"/>
        <w:jc w:val="both"/>
        <w:rPr>
          <w:rFonts w:ascii="Calibri" w:hAnsi="Calibri"/>
        </w:rPr>
      </w:pPr>
      <w:r w:rsidRPr="00BD3A80">
        <w:rPr>
          <w:rFonts w:ascii="Calibri" w:hAnsi="Calibri"/>
        </w:rPr>
        <w:t xml:space="preserve">Wytycznych w zakresie kwalifikowalności wydatków w ramach Europejskiego Funduszu Rozwoju Regionalnego, Europejskiego Funduszu Społecznego oraz Funduszu Spójności na lata 2014-2020 z dnia </w:t>
      </w:r>
      <w:r w:rsidR="001A666B" w:rsidRPr="00BD3A80">
        <w:rPr>
          <w:rFonts w:ascii="Calibri" w:hAnsi="Calibri"/>
        </w:rPr>
        <w:t>10 kwietnia 2015r.,</w:t>
      </w:r>
    </w:p>
    <w:p w:rsidR="00DD64CE" w:rsidRDefault="00DD64CE" w:rsidP="005F692F">
      <w:pPr>
        <w:pStyle w:val="Akapitzlist"/>
        <w:numPr>
          <w:ilvl w:val="0"/>
          <w:numId w:val="26"/>
        </w:numPr>
        <w:ind w:left="426" w:hanging="426"/>
        <w:jc w:val="both"/>
        <w:rPr>
          <w:rFonts w:ascii="Calibri" w:hAnsi="Calibri"/>
        </w:rPr>
      </w:pPr>
      <w:r>
        <w:rPr>
          <w:rFonts w:ascii="Calibri" w:hAnsi="Calibri"/>
        </w:rPr>
        <w:t xml:space="preserve">Zał. nr 6 do </w:t>
      </w:r>
      <w:r w:rsidR="001A666B">
        <w:t>Szczegółowego opisu osi priorytetowych RPO WD 2014-2020,</w:t>
      </w:r>
    </w:p>
    <w:p w:rsidR="00B94A0E" w:rsidRPr="00130EDC" w:rsidRDefault="00B94A0E" w:rsidP="00B94A0E">
      <w:pPr>
        <w:pStyle w:val="Akapitzlist"/>
        <w:numPr>
          <w:ilvl w:val="0"/>
          <w:numId w:val="26"/>
        </w:numPr>
        <w:ind w:left="426" w:hanging="426"/>
        <w:jc w:val="both"/>
        <w:rPr>
          <w:rFonts w:ascii="Calibri" w:hAnsi="Calibri"/>
        </w:rPr>
      </w:pPr>
      <w:r w:rsidRPr="00130EDC">
        <w:rPr>
          <w:rFonts w:ascii="Calibri" w:hAnsi="Calibri"/>
        </w:rPr>
        <w:t xml:space="preserve">Zał. nr </w:t>
      </w:r>
      <w:r w:rsidR="00D50386" w:rsidRPr="00130EDC">
        <w:rPr>
          <w:rFonts w:ascii="Calibri" w:hAnsi="Calibri"/>
        </w:rPr>
        <w:t>10</w:t>
      </w:r>
      <w:r w:rsidRPr="00130EDC">
        <w:rPr>
          <w:rFonts w:ascii="Calibri" w:hAnsi="Calibri"/>
        </w:rPr>
        <w:t xml:space="preserve"> do regulaminu konkursu „Zasady obowiązujące podczas dokonywania zamówień przy realizacji dostaw, usług i robót budowlanych w ramach Projektu”.</w:t>
      </w:r>
    </w:p>
    <w:p w:rsidR="0054104F" w:rsidRPr="00D52D3E" w:rsidRDefault="00D52D3E" w:rsidP="005F692F">
      <w:pPr>
        <w:pStyle w:val="Akapitzlist"/>
        <w:numPr>
          <w:ilvl w:val="0"/>
          <w:numId w:val="26"/>
        </w:numPr>
        <w:ind w:left="426" w:hanging="426"/>
        <w:jc w:val="both"/>
        <w:rPr>
          <w:rFonts w:ascii="Calibri" w:hAnsi="Calibri"/>
        </w:rPr>
      </w:pPr>
      <w:r w:rsidRPr="00130EDC">
        <w:rPr>
          <w:rFonts w:ascii="Calibri" w:hAnsi="Calibri"/>
        </w:rPr>
        <w:t xml:space="preserve">Zał. nr </w:t>
      </w:r>
      <w:r w:rsidR="00783B14" w:rsidRPr="00130EDC">
        <w:rPr>
          <w:rFonts w:ascii="Calibri" w:hAnsi="Calibri"/>
        </w:rPr>
        <w:t>9</w:t>
      </w:r>
      <w:r w:rsidR="00735F4F">
        <w:rPr>
          <w:rFonts w:ascii="Calibri" w:hAnsi="Calibri"/>
        </w:rPr>
        <w:t xml:space="preserve"> </w:t>
      </w:r>
      <w:r w:rsidR="00783B14" w:rsidRPr="00130EDC">
        <w:rPr>
          <w:rFonts w:ascii="Calibri" w:hAnsi="Calibri"/>
        </w:rPr>
        <w:t>do regulaminu</w:t>
      </w:r>
      <w:r w:rsidR="00783B14">
        <w:rPr>
          <w:rFonts w:ascii="Calibri" w:hAnsi="Calibri"/>
        </w:rPr>
        <w:t xml:space="preserve"> konkursu</w:t>
      </w:r>
      <w:r w:rsidR="00735F4F">
        <w:rPr>
          <w:rFonts w:ascii="Calibri" w:hAnsi="Calibri"/>
        </w:rPr>
        <w:t xml:space="preserve"> </w:t>
      </w:r>
      <w:r w:rsidRPr="00D52D3E">
        <w:rPr>
          <w:bCs/>
          <w:lang w:eastAsia="pl-PL"/>
        </w:rPr>
        <w:t>„Podręcznik wnioskodawcy i beneficjenta programów polityki spójności 2014-2020 w zakresie informacji i promocji”</w:t>
      </w:r>
    </w:p>
    <w:p w:rsidR="00DA67CD" w:rsidRDefault="00DA67CD" w:rsidP="008C172B">
      <w:pPr>
        <w:spacing w:line="240" w:lineRule="auto"/>
        <w:rPr>
          <w:b/>
        </w:rPr>
      </w:pPr>
    </w:p>
    <w:p w:rsidR="008C172B" w:rsidRDefault="008C172B" w:rsidP="008C172B">
      <w:pPr>
        <w:pStyle w:val="Zwykytekst"/>
        <w:jc w:val="both"/>
        <w:rPr>
          <w:rFonts w:ascii="Calibri" w:hAnsi="Calibri"/>
          <w:b/>
          <w:sz w:val="22"/>
        </w:rPr>
      </w:pPr>
      <w:r w:rsidRPr="00E032C2">
        <w:rPr>
          <w:rFonts w:ascii="Calibri" w:hAnsi="Calibri"/>
          <w:b/>
          <w:sz w:val="22"/>
        </w:rPr>
        <w:t>Do wydatków kwalifikujących się do objęcia wsparciem zalicza się:</w:t>
      </w:r>
    </w:p>
    <w:p w:rsidR="008C172B" w:rsidRPr="00E032C2" w:rsidRDefault="008C172B" w:rsidP="008C172B">
      <w:pPr>
        <w:pStyle w:val="Zwykytekst"/>
        <w:jc w:val="both"/>
        <w:rPr>
          <w:rFonts w:ascii="Calibri" w:hAnsi="Calibri"/>
          <w:b/>
          <w:sz w:val="22"/>
        </w:rPr>
      </w:pPr>
    </w:p>
    <w:p w:rsidR="008C172B" w:rsidRDefault="0008786D" w:rsidP="005F692F">
      <w:pPr>
        <w:pStyle w:val="Akapitzlist"/>
        <w:numPr>
          <w:ilvl w:val="0"/>
          <w:numId w:val="21"/>
        </w:numPr>
        <w:spacing w:line="240" w:lineRule="auto"/>
        <w:ind w:left="426" w:hanging="426"/>
        <w:rPr>
          <w:b/>
        </w:rPr>
      </w:pPr>
      <w:r>
        <w:rPr>
          <w:b/>
        </w:rPr>
        <w:t>Koszty personelu</w:t>
      </w:r>
      <w:r w:rsidR="008C172B">
        <w:rPr>
          <w:b/>
        </w:rPr>
        <w:t>:</w:t>
      </w:r>
    </w:p>
    <w:p w:rsidR="00D50386" w:rsidRPr="002643D8" w:rsidRDefault="00D50386" w:rsidP="002643D8">
      <w:pPr>
        <w:pStyle w:val="Akapitzlist"/>
        <w:numPr>
          <w:ilvl w:val="0"/>
          <w:numId w:val="37"/>
        </w:numPr>
        <w:ind w:hanging="294"/>
        <w:jc w:val="both"/>
      </w:pPr>
      <w:r w:rsidRPr="002643D8">
        <w:rPr>
          <w:rFonts w:ascii="Calibri" w:hAnsi="Calibri"/>
        </w:rPr>
        <w:t>Kwalifikowalne są koszty płacy wynikające z utworzenia miejsc pracy w następstwie inwestycji początkowej, obliczone za okres dwóch lat, obliczone na podstawie szacunkowego wyliczenia przedstawionego we wniosku o dofinansowanie i złożonego wraz z ostatnim wnioskiem o płatność.</w:t>
      </w:r>
    </w:p>
    <w:p w:rsidR="00D50386" w:rsidRPr="002643D8" w:rsidRDefault="00D50386" w:rsidP="002643D8">
      <w:pPr>
        <w:pStyle w:val="Akapitzlist"/>
        <w:jc w:val="both"/>
      </w:pPr>
      <w:r w:rsidRPr="002643D8">
        <w:rPr>
          <w:rFonts w:ascii="Calibri" w:hAnsi="Calibri"/>
        </w:rPr>
        <w:t xml:space="preserve">Stanowisko pracy musi być obsadzone w ciągu trzech lat od zakończenia prac. Każde utworzone miejsce pracy, o którym mowa w art. 14  ROZPORZĄDZENIA KOMISJI (UE) NR 651/2014z dnia 17 czerwca 2014 r., będzie podlegało kontroli realizacji działania oraz utrzymania na danym obszarze przez okres </w:t>
      </w:r>
      <w:r w:rsidR="00CA5BFB" w:rsidRPr="002643D8">
        <w:rPr>
          <w:rFonts w:ascii="Calibri" w:hAnsi="Calibri"/>
        </w:rPr>
        <w:t>co najmniej pięciu</w:t>
      </w:r>
      <w:r w:rsidRPr="002643D8">
        <w:rPr>
          <w:rFonts w:ascii="Calibri" w:hAnsi="Calibri"/>
        </w:rPr>
        <w:t xml:space="preserve"> lat od dnia pierwszego obsadzenia stanowiska</w:t>
      </w:r>
      <w:r w:rsidR="00CA5BFB" w:rsidRPr="002643D8">
        <w:rPr>
          <w:rFonts w:ascii="Calibri" w:hAnsi="Calibri"/>
        </w:rPr>
        <w:t xml:space="preserve"> lub trzech lat</w:t>
      </w:r>
      <w:r w:rsidRPr="002643D8">
        <w:rPr>
          <w:rFonts w:ascii="Calibri" w:hAnsi="Calibri"/>
        </w:rPr>
        <w:t xml:space="preserve"> w przypadku MŚP. Środki przekazane zgodnie z szacunkowym wyliczeniem kosztów płacy obejmują wszystkie potencjalne koszty, weryfikowane na podstawie rzeczywiście poniesionych kosztów. Ewentualne konsekwencje niedoszacowania kosztów płacy ponosi Beneficjent. </w:t>
      </w:r>
    </w:p>
    <w:p w:rsidR="0008786D" w:rsidRDefault="0008786D" w:rsidP="0008786D">
      <w:pPr>
        <w:pStyle w:val="Akapitzlist"/>
        <w:spacing w:line="240" w:lineRule="auto"/>
      </w:pPr>
    </w:p>
    <w:p w:rsidR="002643D8" w:rsidRDefault="008C172B" w:rsidP="00404D8D">
      <w:pPr>
        <w:pStyle w:val="Akapitzlist"/>
        <w:numPr>
          <w:ilvl w:val="0"/>
          <w:numId w:val="37"/>
        </w:numPr>
        <w:spacing w:line="240" w:lineRule="auto"/>
        <w:jc w:val="both"/>
      </w:pPr>
      <w:r>
        <w:lastRenderedPageBreak/>
        <w:t xml:space="preserve">Koszty osobowe związane z zarządzaniem projektu </w:t>
      </w:r>
      <w:r w:rsidR="00C11A46" w:rsidRPr="00C11A46">
        <w:t>nie przekraczające 1% całkowitych wydatków kwalifikowalnych w ramach projektu (2% dla projektów o wartości poniżej 500 000 PLN wydatków kwalifikowalnych) i/lub nie przekraczające 5000 PLN brutto</w:t>
      </w:r>
      <w:r w:rsidR="00523415">
        <w:rPr>
          <w:rStyle w:val="Odwoanieprzypisudolnego"/>
        </w:rPr>
        <w:footnoteReference w:id="1"/>
      </w:r>
      <w:r w:rsidR="00C11A46" w:rsidRPr="00C11A46">
        <w:t>miesięc</w:t>
      </w:r>
      <w:r w:rsidR="002643D8">
        <w:t>znie bez względu na liczbę osób.</w:t>
      </w:r>
    </w:p>
    <w:p w:rsidR="008C172B" w:rsidRPr="008C172B" w:rsidRDefault="002643D8" w:rsidP="002643D8">
      <w:pPr>
        <w:pStyle w:val="Akapitzlist"/>
        <w:spacing w:line="240" w:lineRule="auto"/>
        <w:jc w:val="both"/>
      </w:pPr>
      <w:r w:rsidRPr="00520122">
        <w:rPr>
          <w:szCs w:val="24"/>
        </w:rPr>
        <w:t>W przypadku gdy zarządzanie projektem jest wykonywane przez podmiot wybrany zgodnie z zasadą konkurencyjności/ ustawą Prawo zamówień publicznych, wydatki dotyczące jego wynagrodzenia są kwalifikowalne w takiej wysokości, jaka wynika z podpisanej umowy.</w:t>
      </w:r>
    </w:p>
    <w:p w:rsidR="00C11A46" w:rsidRDefault="00D505B2" w:rsidP="0008786D">
      <w:pPr>
        <w:pStyle w:val="Default"/>
        <w:ind w:left="426"/>
        <w:jc w:val="both"/>
        <w:rPr>
          <w:rFonts w:asciiTheme="minorHAnsi" w:hAnsiTheme="minorHAnsi"/>
          <w:sz w:val="22"/>
          <w:szCs w:val="22"/>
        </w:rPr>
      </w:pPr>
      <w:r w:rsidRPr="00D505B2">
        <w:rPr>
          <w:rFonts w:asciiTheme="minorHAnsi" w:hAnsiTheme="minorHAnsi"/>
          <w:sz w:val="22"/>
          <w:szCs w:val="22"/>
        </w:rPr>
        <w:t>Dodatkowe  wynagrodzenie  roczne  personelu  projektu  je</w:t>
      </w:r>
      <w:r>
        <w:rPr>
          <w:rFonts w:asciiTheme="minorHAnsi" w:hAnsiTheme="minorHAnsi"/>
          <w:sz w:val="22"/>
          <w:szCs w:val="22"/>
        </w:rPr>
        <w:t xml:space="preserve">st  kwalifikowalne  wyłącznie,  </w:t>
      </w:r>
      <w:r w:rsidRPr="00D505B2">
        <w:rPr>
          <w:rFonts w:asciiTheme="minorHAnsi" w:hAnsiTheme="minorHAnsi"/>
          <w:sz w:val="22"/>
          <w:szCs w:val="22"/>
        </w:rPr>
        <w:t>je</w:t>
      </w:r>
      <w:r>
        <w:rPr>
          <w:rFonts w:asciiTheme="minorHAnsi" w:hAnsiTheme="minorHAnsi"/>
          <w:sz w:val="22"/>
          <w:szCs w:val="22"/>
        </w:rPr>
        <w:t>ż</w:t>
      </w:r>
      <w:r w:rsidRPr="00D505B2">
        <w:rPr>
          <w:rFonts w:asciiTheme="minorHAnsi" w:hAnsiTheme="minorHAnsi"/>
          <w:sz w:val="22"/>
          <w:szCs w:val="22"/>
        </w:rPr>
        <w:t>eli</w:t>
      </w:r>
      <w:r>
        <w:rPr>
          <w:rFonts w:asciiTheme="minorHAnsi" w:hAnsiTheme="minorHAnsi"/>
          <w:sz w:val="22"/>
          <w:szCs w:val="22"/>
        </w:rPr>
        <w:t xml:space="preserve"> wynika z przepisów prawa pracy </w:t>
      </w:r>
      <w:r w:rsidRPr="00D505B2">
        <w:rPr>
          <w:rFonts w:asciiTheme="minorHAnsi" w:hAnsiTheme="minorHAnsi"/>
          <w:sz w:val="22"/>
          <w:szCs w:val="22"/>
        </w:rPr>
        <w:t>i odpowiada pro</w:t>
      </w:r>
      <w:r>
        <w:rPr>
          <w:rFonts w:asciiTheme="minorHAnsi" w:hAnsiTheme="minorHAnsi"/>
          <w:sz w:val="22"/>
          <w:szCs w:val="22"/>
        </w:rPr>
        <w:t xml:space="preserve">porcji, w której wynagrodzenie  </w:t>
      </w:r>
      <w:r w:rsidRPr="00D505B2">
        <w:rPr>
          <w:rFonts w:asciiTheme="minorHAnsi" w:hAnsiTheme="minorHAnsi"/>
          <w:sz w:val="22"/>
          <w:szCs w:val="22"/>
        </w:rPr>
        <w:t>zasadnicze będące podstawą</w:t>
      </w:r>
      <w:r w:rsidR="00891277">
        <w:rPr>
          <w:rFonts w:asciiTheme="minorHAnsi" w:hAnsiTheme="minorHAnsi"/>
          <w:sz w:val="22"/>
          <w:szCs w:val="22"/>
        </w:rPr>
        <w:t xml:space="preserve"> </w:t>
      </w:r>
      <w:r w:rsidRPr="00D505B2">
        <w:rPr>
          <w:rFonts w:asciiTheme="minorHAnsi" w:hAnsiTheme="minorHAnsi"/>
          <w:sz w:val="22"/>
          <w:szCs w:val="22"/>
        </w:rPr>
        <w:t>jego naliczenia jest rozliczane w ramach projektu.</w:t>
      </w:r>
    </w:p>
    <w:p w:rsidR="00D505B2" w:rsidRDefault="00D505B2" w:rsidP="0008786D">
      <w:pPr>
        <w:pStyle w:val="Default"/>
        <w:ind w:left="426"/>
        <w:jc w:val="both"/>
        <w:rPr>
          <w:rFonts w:asciiTheme="minorHAnsi" w:hAnsiTheme="minorHAnsi"/>
          <w:sz w:val="22"/>
          <w:szCs w:val="22"/>
        </w:rPr>
      </w:pPr>
    </w:p>
    <w:p w:rsidR="00C11A46" w:rsidRDefault="00C11A46" w:rsidP="0008786D">
      <w:pPr>
        <w:pStyle w:val="Default"/>
        <w:ind w:left="426"/>
        <w:jc w:val="both"/>
        <w:rPr>
          <w:rFonts w:asciiTheme="minorHAnsi" w:hAnsiTheme="minorHAnsi"/>
          <w:sz w:val="22"/>
          <w:szCs w:val="22"/>
        </w:rPr>
      </w:pPr>
      <w:r w:rsidRPr="00C11A46">
        <w:rPr>
          <w:rFonts w:asciiTheme="minorHAnsi" w:hAnsiTheme="minorHAnsi"/>
          <w:sz w:val="22"/>
          <w:szCs w:val="22"/>
        </w:rPr>
        <w:t xml:space="preserve">Wydatki  na  wynagrodzenie  personelu  są kwalifikowalne  pod  warunkiem,  </w:t>
      </w:r>
      <w:r>
        <w:rPr>
          <w:rFonts w:asciiTheme="minorHAnsi" w:hAnsiTheme="minorHAnsi"/>
          <w:sz w:val="22"/>
          <w:szCs w:val="22"/>
        </w:rPr>
        <w:t xml:space="preserve">że  ich </w:t>
      </w:r>
      <w:r w:rsidRPr="00C11A46">
        <w:rPr>
          <w:rFonts w:asciiTheme="minorHAnsi" w:hAnsiTheme="minorHAnsi"/>
          <w:sz w:val="22"/>
          <w:szCs w:val="22"/>
        </w:rPr>
        <w:t xml:space="preserve">wysokość odpowiada  stawkom  faktycznie  stosowanym  u  </w:t>
      </w:r>
      <w:r>
        <w:rPr>
          <w:rFonts w:asciiTheme="minorHAnsi" w:hAnsiTheme="minorHAnsi"/>
          <w:sz w:val="22"/>
          <w:szCs w:val="22"/>
        </w:rPr>
        <w:t xml:space="preserve">beneficjenta  poza  projektami </w:t>
      </w:r>
      <w:r w:rsidRPr="00C11A46">
        <w:rPr>
          <w:rFonts w:asciiTheme="minorHAnsi" w:hAnsiTheme="minorHAnsi"/>
          <w:sz w:val="22"/>
          <w:szCs w:val="22"/>
        </w:rPr>
        <w:t xml:space="preserve">współfinansowanymi z funduszy strukturalnych i FS na analogicznych </w:t>
      </w:r>
      <w:r>
        <w:rPr>
          <w:rFonts w:asciiTheme="minorHAnsi" w:hAnsiTheme="minorHAnsi"/>
          <w:sz w:val="22"/>
          <w:szCs w:val="22"/>
        </w:rPr>
        <w:t xml:space="preserve">stanowiskach lub  </w:t>
      </w:r>
      <w:r w:rsidRPr="00C11A46">
        <w:rPr>
          <w:rFonts w:asciiTheme="minorHAnsi" w:hAnsiTheme="minorHAnsi"/>
          <w:sz w:val="22"/>
          <w:szCs w:val="22"/>
        </w:rPr>
        <w:t>na  stanowiskach  wymagających  analogicznych  kwal</w:t>
      </w:r>
      <w:r>
        <w:rPr>
          <w:rFonts w:asciiTheme="minorHAnsi" w:hAnsiTheme="minorHAnsi"/>
          <w:sz w:val="22"/>
          <w:szCs w:val="22"/>
        </w:rPr>
        <w:t xml:space="preserve">ifikacji.  Dotyczy  to  również </w:t>
      </w:r>
      <w:r w:rsidRPr="00C11A46">
        <w:rPr>
          <w:rFonts w:asciiTheme="minorHAnsi" w:hAnsiTheme="minorHAnsi"/>
          <w:sz w:val="22"/>
          <w:szCs w:val="22"/>
        </w:rPr>
        <w:t>pozostałych składników wynagrodzenia personelu, w tym nagród i premii.</w:t>
      </w:r>
      <w:r w:rsidR="005F692F">
        <w:rPr>
          <w:rFonts w:asciiTheme="minorHAnsi" w:hAnsiTheme="minorHAnsi"/>
          <w:sz w:val="22"/>
          <w:szCs w:val="22"/>
        </w:rPr>
        <w:t xml:space="preserve"> Przy pracownikach nowo zatrudnianych obowiązują stawki rynkowe.</w:t>
      </w:r>
    </w:p>
    <w:p w:rsidR="00815531" w:rsidRPr="00143514" w:rsidRDefault="00815531" w:rsidP="00AD6C0A">
      <w:pPr>
        <w:pStyle w:val="Default"/>
        <w:rPr>
          <w:rFonts w:asciiTheme="minorHAnsi" w:hAnsiTheme="minorHAnsi"/>
          <w:sz w:val="22"/>
          <w:szCs w:val="22"/>
        </w:rPr>
      </w:pPr>
    </w:p>
    <w:p w:rsidR="002A5B4B" w:rsidRDefault="002A5B4B" w:rsidP="00EF5DB6">
      <w:pPr>
        <w:pStyle w:val="Default"/>
        <w:spacing w:after="18"/>
        <w:ind w:left="426"/>
        <w:jc w:val="both"/>
        <w:rPr>
          <w:rFonts w:asciiTheme="minorHAnsi" w:hAnsiTheme="minorHAnsi"/>
          <w:sz w:val="22"/>
          <w:szCs w:val="22"/>
        </w:rPr>
      </w:pPr>
    </w:p>
    <w:p w:rsidR="002A5B4B" w:rsidRPr="00527217" w:rsidRDefault="00EF5DB6" w:rsidP="0008786D">
      <w:pPr>
        <w:pStyle w:val="Default"/>
        <w:ind w:left="426"/>
        <w:jc w:val="both"/>
        <w:rPr>
          <w:rFonts w:asciiTheme="minorHAnsi" w:hAnsiTheme="minorHAnsi"/>
          <w:b/>
          <w:sz w:val="22"/>
          <w:szCs w:val="22"/>
        </w:rPr>
      </w:pPr>
      <w:r>
        <w:rPr>
          <w:rFonts w:asciiTheme="minorHAnsi" w:hAnsiTheme="minorHAnsi"/>
          <w:b/>
          <w:sz w:val="22"/>
          <w:szCs w:val="22"/>
        </w:rPr>
        <w:t xml:space="preserve">Dodatkowe wymogi związane z wynagrodzeniem </w:t>
      </w:r>
      <w:r w:rsidRPr="00DD1947">
        <w:rPr>
          <w:rFonts w:asciiTheme="minorHAnsi" w:hAnsiTheme="minorHAnsi"/>
          <w:b/>
          <w:sz w:val="22"/>
          <w:szCs w:val="22"/>
        </w:rPr>
        <w:t xml:space="preserve">osób związanych z zarządzaniem projektem </w:t>
      </w:r>
    </w:p>
    <w:p w:rsidR="002A5B4B" w:rsidRPr="00DD1947" w:rsidRDefault="00EF5DB6" w:rsidP="0008786D">
      <w:pPr>
        <w:pStyle w:val="Akapitzlist"/>
        <w:spacing w:after="0"/>
        <w:ind w:left="426"/>
        <w:jc w:val="both"/>
        <w:rPr>
          <w:rFonts w:cs="Calibri"/>
          <w:color w:val="000000"/>
        </w:rPr>
      </w:pPr>
      <w:r>
        <w:rPr>
          <w:sz w:val="24"/>
          <w:szCs w:val="24"/>
        </w:rPr>
        <w:t>K</w:t>
      </w:r>
      <w:r w:rsidR="002A5B4B" w:rsidRPr="00D53188">
        <w:rPr>
          <w:sz w:val="24"/>
          <w:szCs w:val="24"/>
        </w:rPr>
        <w:t>walif</w:t>
      </w:r>
      <w:r w:rsidR="002A5B4B" w:rsidRPr="00DD1947">
        <w:rPr>
          <w:rFonts w:cs="Calibri"/>
          <w:color w:val="000000"/>
        </w:rPr>
        <w:t>ikowalne mogą być wydatki osobowe związane z wynagrodzeniem osób</w:t>
      </w:r>
      <w:r w:rsidR="002A5B4B">
        <w:rPr>
          <w:rFonts w:cs="Calibri"/>
          <w:color w:val="000000"/>
        </w:rPr>
        <w:t xml:space="preserve"> związanych z zarządzeniem projektem </w:t>
      </w:r>
      <w:r w:rsidR="002A5B4B" w:rsidRPr="00DD1947">
        <w:rPr>
          <w:rFonts w:cs="Calibri"/>
          <w:color w:val="000000"/>
        </w:rPr>
        <w:t>przy wykonywaniu ww. czynności w projekcie jeżeli łącznie spełnione zostaną m.in. następujące warunki:</w:t>
      </w:r>
    </w:p>
    <w:p w:rsidR="002A5B4B" w:rsidRPr="00DD1947" w:rsidRDefault="002A5B4B" w:rsidP="0008786D">
      <w:pPr>
        <w:pStyle w:val="Akapitzlist"/>
        <w:numPr>
          <w:ilvl w:val="0"/>
          <w:numId w:val="1"/>
        </w:numPr>
        <w:spacing w:after="0"/>
        <w:ind w:left="709" w:hanging="284"/>
        <w:jc w:val="both"/>
        <w:rPr>
          <w:rFonts w:cs="Calibri"/>
          <w:color w:val="000000"/>
        </w:rPr>
      </w:pPr>
      <w:r w:rsidRPr="00DD1947">
        <w:rPr>
          <w:rFonts w:cs="Calibri"/>
          <w:color w:val="000000"/>
        </w:rPr>
        <w:t>ww. osoba jest bezpośrednio zaangażowana w wykonywanie ww. czynności w ramach projektu;</w:t>
      </w:r>
    </w:p>
    <w:p w:rsidR="002A5B4B" w:rsidRPr="00DD1947" w:rsidRDefault="002A5B4B" w:rsidP="0008786D">
      <w:pPr>
        <w:pStyle w:val="Akapitzlist"/>
        <w:numPr>
          <w:ilvl w:val="0"/>
          <w:numId w:val="1"/>
        </w:numPr>
        <w:spacing w:after="0"/>
        <w:ind w:left="709" w:hanging="284"/>
        <w:jc w:val="both"/>
        <w:rPr>
          <w:rFonts w:cs="Calibri"/>
          <w:color w:val="000000"/>
        </w:rPr>
      </w:pPr>
      <w:r w:rsidRPr="00DD1947">
        <w:rPr>
          <w:rFonts w:cs="Calibri"/>
          <w:color w:val="000000"/>
        </w:rPr>
        <w:t>mogą być uwzględniane tylko te ww. osoby, które w co najmniej 25% czasu w danym okresie rozliczeniowym wykonują zadania kwalifikowalne w ramach projektu; wówczas, za kwalifikowalną może być uznana ta część wynagrodzenia, która odpowiada procentowemu bezpośredniemu zaangażowaniu ww. osoby w wykonywanie czynności w ramach projektu;</w:t>
      </w:r>
    </w:p>
    <w:p w:rsidR="002A5B4B" w:rsidRPr="00DD1947" w:rsidRDefault="002A5B4B" w:rsidP="0008786D">
      <w:pPr>
        <w:pStyle w:val="Akapitzlist"/>
        <w:numPr>
          <w:ilvl w:val="0"/>
          <w:numId w:val="25"/>
        </w:numPr>
        <w:spacing w:after="0"/>
        <w:ind w:left="709" w:hanging="284"/>
        <w:jc w:val="both"/>
        <w:rPr>
          <w:rFonts w:cs="Calibri"/>
          <w:color w:val="000000"/>
        </w:rPr>
      </w:pPr>
      <w:r w:rsidRPr="00DD1947">
        <w:rPr>
          <w:rFonts w:cs="Calibri"/>
          <w:color w:val="000000"/>
        </w:rPr>
        <w:t>wydatki ponoszone są wyłącznie w okresie realizacji projektu oraz za okres, w którym ww. osoba wykonywała faktycznie czynności związane w ramach projektu.</w:t>
      </w:r>
    </w:p>
    <w:p w:rsidR="00B11ACD" w:rsidRPr="00D61417" w:rsidRDefault="00B11ACD" w:rsidP="00B11ACD">
      <w:pPr>
        <w:pStyle w:val="Akapitzlist"/>
        <w:numPr>
          <w:ilvl w:val="0"/>
          <w:numId w:val="21"/>
        </w:numPr>
        <w:autoSpaceDE w:val="0"/>
        <w:autoSpaceDN w:val="0"/>
        <w:adjustRightInd w:val="0"/>
        <w:spacing w:after="120" w:line="240" w:lineRule="auto"/>
        <w:ind w:left="426" w:hanging="426"/>
        <w:jc w:val="both"/>
        <w:rPr>
          <w:rFonts w:cs="Arial"/>
          <w:b/>
        </w:rPr>
      </w:pPr>
      <w:r w:rsidRPr="00D61417">
        <w:rPr>
          <w:rFonts w:cs="Arial"/>
          <w:b/>
        </w:rPr>
        <w:t xml:space="preserve">Koszty  </w:t>
      </w:r>
      <w:r>
        <w:rPr>
          <w:rFonts w:cs="Arial"/>
          <w:b/>
        </w:rPr>
        <w:t xml:space="preserve">zakupu/ wynajmu aktywów trwałych oraz </w:t>
      </w:r>
      <w:r w:rsidRPr="00D61417">
        <w:rPr>
          <w:rFonts w:cs="Arial"/>
          <w:b/>
        </w:rPr>
        <w:t>WNiP.</w:t>
      </w:r>
    </w:p>
    <w:p w:rsidR="00B11ACD" w:rsidRPr="00F83F40" w:rsidRDefault="00B11ACD" w:rsidP="00B11ACD">
      <w:pPr>
        <w:pStyle w:val="Akapitzlist"/>
        <w:numPr>
          <w:ilvl w:val="0"/>
          <w:numId w:val="38"/>
        </w:numPr>
        <w:autoSpaceDE w:val="0"/>
        <w:autoSpaceDN w:val="0"/>
        <w:adjustRightInd w:val="0"/>
        <w:spacing w:after="0" w:line="240" w:lineRule="auto"/>
        <w:jc w:val="both"/>
        <w:rPr>
          <w:rFonts w:cs="Arial"/>
        </w:rPr>
      </w:pPr>
      <w:r w:rsidRPr="00F83F40">
        <w:rPr>
          <w:rFonts w:cs="Arial"/>
        </w:rPr>
        <w:t>Kwalifikowalne są jedynie nowe środki trwałe, z wyjątkiem aktywów nabywanych przez MŚP i z wyjątkiem przejęcia zakładu</w:t>
      </w:r>
      <w:r>
        <w:rPr>
          <w:rStyle w:val="Odwoanieprzypisudolnego"/>
          <w:rFonts w:cs="Arial"/>
        </w:rPr>
        <w:footnoteReference w:id="2"/>
      </w:r>
    </w:p>
    <w:p w:rsidR="00B11ACD" w:rsidRPr="00F83F40" w:rsidRDefault="00B11ACD" w:rsidP="00B11ACD">
      <w:pPr>
        <w:pStyle w:val="Akapitzlist"/>
        <w:numPr>
          <w:ilvl w:val="0"/>
          <w:numId w:val="38"/>
        </w:numPr>
        <w:autoSpaceDE w:val="0"/>
        <w:autoSpaceDN w:val="0"/>
        <w:adjustRightInd w:val="0"/>
        <w:spacing w:after="0" w:line="240" w:lineRule="auto"/>
        <w:jc w:val="both"/>
        <w:rPr>
          <w:rFonts w:cs="Arial"/>
        </w:rPr>
      </w:pPr>
      <w:r w:rsidRPr="00F83F40">
        <w:rPr>
          <w:rFonts w:cs="Arial"/>
        </w:rPr>
        <w:t>Za kwalifikowalne uznaje się wydatki pod warunkiem ich bezpośredniego wskazania we wniosku o dofinansowanie wraz z uzasadnieniem dla konieczności ich zakupu.</w:t>
      </w:r>
    </w:p>
    <w:p w:rsidR="00B11ACD" w:rsidRPr="00F83F40" w:rsidRDefault="00B11ACD" w:rsidP="00B11ACD">
      <w:pPr>
        <w:pStyle w:val="Akapitzlist"/>
        <w:numPr>
          <w:ilvl w:val="0"/>
          <w:numId w:val="38"/>
        </w:numPr>
        <w:autoSpaceDE w:val="0"/>
        <w:autoSpaceDN w:val="0"/>
        <w:adjustRightInd w:val="0"/>
        <w:spacing w:after="0" w:line="240" w:lineRule="auto"/>
        <w:jc w:val="both"/>
        <w:rPr>
          <w:rFonts w:cs="Arial"/>
        </w:rPr>
      </w:pPr>
      <w:r w:rsidRPr="00F83F40">
        <w:rPr>
          <w:rFonts w:cs="Arial"/>
        </w:rPr>
        <w:t xml:space="preserve">Wydatki poniesione na zakup środków trwałych, a także koszty ich dostawy, montażu i uruchomienia, mogą być kwalifikowalne w całości lub części swojej wartości zgodnie ze wskazaniem beneficjenta opartym o faktyczne wykorzystanie środka trwałego na potrzeby projektu. </w:t>
      </w:r>
    </w:p>
    <w:p w:rsidR="00B11ACD" w:rsidRPr="00F83F40" w:rsidRDefault="00B11ACD" w:rsidP="00B11ACD">
      <w:pPr>
        <w:pStyle w:val="Akapitzlist"/>
        <w:numPr>
          <w:ilvl w:val="0"/>
          <w:numId w:val="38"/>
        </w:numPr>
        <w:autoSpaceDE w:val="0"/>
        <w:autoSpaceDN w:val="0"/>
        <w:adjustRightInd w:val="0"/>
        <w:spacing w:after="120" w:line="240" w:lineRule="auto"/>
        <w:ind w:left="709"/>
        <w:jc w:val="both"/>
        <w:rPr>
          <w:rFonts w:cs="Arial"/>
        </w:rPr>
      </w:pPr>
      <w:r w:rsidRPr="00F83F40">
        <w:rPr>
          <w:rFonts w:cs="Arial"/>
        </w:rPr>
        <w:t>Wydatki związane z zakupem środków trwałych i wartości niematerialnych i prawnych kwalifikują się do współfinansowania pod warunkiem, że wartości te będą ujęte w ewidencji księgowej.</w:t>
      </w:r>
    </w:p>
    <w:p w:rsidR="00B11ACD" w:rsidRPr="00F83F40" w:rsidRDefault="00B11ACD" w:rsidP="00B11ACD">
      <w:pPr>
        <w:pStyle w:val="Akapitzlist"/>
        <w:numPr>
          <w:ilvl w:val="0"/>
          <w:numId w:val="38"/>
        </w:numPr>
        <w:autoSpaceDE w:val="0"/>
        <w:autoSpaceDN w:val="0"/>
        <w:adjustRightInd w:val="0"/>
        <w:spacing w:after="0" w:line="240" w:lineRule="auto"/>
        <w:jc w:val="both"/>
        <w:rPr>
          <w:rFonts w:cs="Arial"/>
        </w:rPr>
      </w:pPr>
      <w:r w:rsidRPr="00F83F40">
        <w:rPr>
          <w:rFonts w:cs="Arial"/>
        </w:rPr>
        <w:lastRenderedPageBreak/>
        <w:t>Wydatki poniesione na zakup używanych środków trwałych, dokonywane tylko i wyłącznie przez MŚP, są kwalifikowalne, jeśli spełnione są wszystkie wymienione poniżej warunki:</w:t>
      </w:r>
    </w:p>
    <w:p w:rsidR="00B11ACD" w:rsidRPr="00F83F40" w:rsidRDefault="00B11ACD" w:rsidP="00B11ACD">
      <w:pPr>
        <w:pStyle w:val="Akapitzlist"/>
        <w:numPr>
          <w:ilvl w:val="0"/>
          <w:numId w:val="39"/>
        </w:numPr>
        <w:autoSpaceDE w:val="0"/>
        <w:autoSpaceDN w:val="0"/>
        <w:adjustRightInd w:val="0"/>
        <w:spacing w:after="0" w:line="240" w:lineRule="auto"/>
        <w:jc w:val="both"/>
        <w:rPr>
          <w:rFonts w:cs="Arial"/>
        </w:rPr>
      </w:pPr>
      <w:r w:rsidRPr="00F83F40">
        <w:rPr>
          <w:rFonts w:cs="Arial"/>
        </w:rPr>
        <w:t>sprzedający środek trwały wystawił deklarację określającą jego pochodzenie,</w:t>
      </w:r>
    </w:p>
    <w:p w:rsidR="00B11ACD" w:rsidRPr="00F83F40" w:rsidRDefault="00B11ACD" w:rsidP="00B11ACD">
      <w:pPr>
        <w:pStyle w:val="Akapitzlist"/>
        <w:numPr>
          <w:ilvl w:val="0"/>
          <w:numId w:val="39"/>
        </w:numPr>
        <w:autoSpaceDE w:val="0"/>
        <w:autoSpaceDN w:val="0"/>
        <w:adjustRightInd w:val="0"/>
        <w:spacing w:after="0" w:line="240" w:lineRule="auto"/>
        <w:jc w:val="both"/>
        <w:rPr>
          <w:rFonts w:cs="Arial"/>
        </w:rPr>
      </w:pPr>
      <w:r w:rsidRPr="00F83F40">
        <w:rPr>
          <w:rFonts w:cs="Arial"/>
        </w:rPr>
        <w:t>sprzedający środek trwały potwierdził w deklaracji, że dany środek nie był w okresie poprzednich 7 lat (10 lat w przypadku nieruchomości) współfinansowany z pomocy UE lub w ramach dotacji z krajowych środków publicznych,</w:t>
      </w:r>
    </w:p>
    <w:p w:rsidR="00B11ACD" w:rsidRDefault="00B11ACD" w:rsidP="00B11ACD">
      <w:pPr>
        <w:pStyle w:val="Akapitzlist"/>
        <w:numPr>
          <w:ilvl w:val="0"/>
          <w:numId w:val="39"/>
        </w:numPr>
        <w:autoSpaceDE w:val="0"/>
        <w:autoSpaceDN w:val="0"/>
        <w:adjustRightInd w:val="0"/>
        <w:spacing w:after="120" w:line="240" w:lineRule="auto"/>
        <w:jc w:val="both"/>
        <w:rPr>
          <w:rFonts w:cs="Arial"/>
        </w:rPr>
      </w:pPr>
      <w:r w:rsidRPr="00F83F40">
        <w:rPr>
          <w:rFonts w:cs="Arial"/>
        </w:rPr>
        <w:t>cena zakupu używanego środka trwałego nie przekracza jego wartości rynkowej i jest niższa niż koszt podobnego nowego sprzętu.</w:t>
      </w:r>
    </w:p>
    <w:p w:rsidR="00A16F00" w:rsidRPr="00A16F00" w:rsidRDefault="00A16F00" w:rsidP="00A16F00">
      <w:pPr>
        <w:pStyle w:val="Akapitzlist"/>
        <w:numPr>
          <w:ilvl w:val="0"/>
          <w:numId w:val="38"/>
        </w:numPr>
        <w:autoSpaceDE w:val="0"/>
        <w:autoSpaceDN w:val="0"/>
        <w:adjustRightInd w:val="0"/>
        <w:spacing w:after="120" w:line="240" w:lineRule="auto"/>
        <w:jc w:val="both"/>
        <w:rPr>
          <w:rFonts w:cs="Arial"/>
        </w:rPr>
      </w:pPr>
      <w:r w:rsidRPr="00F83F40">
        <w:rPr>
          <w:rFonts w:cs="Arial"/>
        </w:rPr>
        <w:t xml:space="preserve">Do kosztów kwalifikowalnych zalicza się także koszty dzierżawy rzeczowych aktywów trwałych </w:t>
      </w:r>
      <w:r>
        <w:rPr>
          <w:rFonts w:cs="Arial"/>
        </w:rPr>
        <w:t xml:space="preserve">ponoszonych w okresie realizacji projektu pod warunkiem, </w:t>
      </w:r>
      <w:r w:rsidRPr="00A16F00">
        <w:rPr>
          <w:rFonts w:cs="Arial"/>
        </w:rPr>
        <w:t>że dzierżawa/najem instalacji lub maszyn musi mieć formę leasingu finansowego i obejmować obowiązek zakupu aktywów przez beneficjenta po wygaśnięciu umowy.</w:t>
      </w:r>
    </w:p>
    <w:p w:rsidR="00A16F00" w:rsidRPr="00F83F40" w:rsidRDefault="00A16F00" w:rsidP="00A16F00">
      <w:pPr>
        <w:pStyle w:val="Akapitzlist"/>
        <w:numPr>
          <w:ilvl w:val="0"/>
          <w:numId w:val="38"/>
        </w:numPr>
        <w:autoSpaceDE w:val="0"/>
        <w:autoSpaceDN w:val="0"/>
        <w:adjustRightInd w:val="0"/>
        <w:spacing w:after="120" w:line="240" w:lineRule="auto"/>
        <w:jc w:val="both"/>
      </w:pPr>
      <w:r>
        <w:t>Wydatki i k</w:t>
      </w:r>
      <w:r w:rsidRPr="00F83F40">
        <w:t>oszty budynków i gruntów</w:t>
      </w:r>
    </w:p>
    <w:p w:rsidR="00A16F00" w:rsidRPr="00F83F40" w:rsidRDefault="00A16F00" w:rsidP="00A16F00">
      <w:pPr>
        <w:pStyle w:val="Akapitzlist"/>
        <w:numPr>
          <w:ilvl w:val="0"/>
          <w:numId w:val="43"/>
        </w:numPr>
        <w:autoSpaceDE w:val="0"/>
        <w:autoSpaceDN w:val="0"/>
        <w:adjustRightInd w:val="0"/>
        <w:spacing w:after="120" w:line="240" w:lineRule="auto"/>
        <w:jc w:val="both"/>
      </w:pPr>
      <w:r w:rsidRPr="00F83F40">
        <w:t>Oprócz zakupu budynków i gruntów kwalifikowalna jest także:</w:t>
      </w:r>
    </w:p>
    <w:p w:rsidR="00A16F00" w:rsidRDefault="00A16F00" w:rsidP="00A16F00">
      <w:pPr>
        <w:pStyle w:val="Akapitzlist"/>
        <w:numPr>
          <w:ilvl w:val="0"/>
          <w:numId w:val="25"/>
        </w:numPr>
        <w:autoSpaceDE w:val="0"/>
        <w:autoSpaceDN w:val="0"/>
        <w:adjustRightInd w:val="0"/>
        <w:spacing w:after="120" w:line="240" w:lineRule="auto"/>
        <w:ind w:left="993" w:hanging="284"/>
      </w:pPr>
      <w:r w:rsidRPr="00F83F40">
        <w:rPr>
          <w:rFonts w:cs="Arial"/>
        </w:rPr>
        <w:t xml:space="preserve">dzierżawa/najem gruntów i budynków </w:t>
      </w:r>
      <w:r>
        <w:rPr>
          <w:rFonts w:cs="Arial"/>
        </w:rPr>
        <w:t>w okresie realizacji projektu przy czym</w:t>
      </w:r>
      <w:r w:rsidRPr="00F83F40">
        <w:rPr>
          <w:rFonts w:cs="Arial"/>
        </w:rPr>
        <w:t xml:space="preserve"> musi trwać przez okres co najmniej pięciu lat od przewidywanego terminu zakończenia projektu inwestycyjnego w przypadku dużych przedsiębiorstw lub trzech lat w przypadku MŚP;</w:t>
      </w:r>
    </w:p>
    <w:p w:rsidR="00A16F00" w:rsidRPr="00F83F40" w:rsidRDefault="00A16F00" w:rsidP="00A16F00">
      <w:pPr>
        <w:pStyle w:val="Default"/>
        <w:numPr>
          <w:ilvl w:val="0"/>
          <w:numId w:val="25"/>
        </w:numPr>
        <w:spacing w:after="27"/>
        <w:ind w:left="993" w:hanging="284"/>
        <w:rPr>
          <w:rFonts w:asciiTheme="minorHAnsi" w:hAnsiTheme="minorHAnsi"/>
          <w:sz w:val="22"/>
          <w:szCs w:val="22"/>
        </w:rPr>
      </w:pPr>
      <w:r w:rsidRPr="00F83F40">
        <w:rPr>
          <w:rFonts w:asciiTheme="minorHAnsi" w:hAnsiTheme="minorHAnsi"/>
          <w:bCs/>
          <w:sz w:val="22"/>
          <w:szCs w:val="22"/>
        </w:rPr>
        <w:t xml:space="preserve">wieczyste użytkowanie gruntów </w:t>
      </w:r>
      <w:r w:rsidRPr="00F83F40">
        <w:rPr>
          <w:rFonts w:asciiTheme="minorHAnsi" w:hAnsiTheme="minorHAnsi"/>
          <w:sz w:val="22"/>
          <w:szCs w:val="22"/>
        </w:rPr>
        <w:t xml:space="preserve">- tylko opłaty za użytkowanie wieczyste z wyłączeniem odsetek; </w:t>
      </w:r>
    </w:p>
    <w:p w:rsidR="00A16F00" w:rsidRDefault="00A16F00" w:rsidP="00A16F00">
      <w:pPr>
        <w:pStyle w:val="Default"/>
        <w:numPr>
          <w:ilvl w:val="0"/>
          <w:numId w:val="25"/>
        </w:numPr>
        <w:ind w:left="993" w:hanging="284"/>
        <w:rPr>
          <w:rFonts w:asciiTheme="minorHAnsi" w:hAnsiTheme="minorHAnsi"/>
          <w:sz w:val="22"/>
          <w:szCs w:val="22"/>
        </w:rPr>
      </w:pPr>
      <w:r w:rsidRPr="00A958B6">
        <w:rPr>
          <w:rFonts w:asciiTheme="minorHAnsi" w:hAnsiTheme="minorHAnsi"/>
          <w:bCs/>
          <w:sz w:val="22"/>
          <w:szCs w:val="22"/>
        </w:rPr>
        <w:t xml:space="preserve">amortyzacja budynków </w:t>
      </w:r>
      <w:r w:rsidRPr="00A958B6">
        <w:rPr>
          <w:rFonts w:asciiTheme="minorHAnsi" w:hAnsiTheme="minorHAnsi"/>
          <w:sz w:val="22"/>
          <w:szCs w:val="22"/>
        </w:rPr>
        <w:t xml:space="preserve">- w przypadku, gdy wykorzystywane są także w innych celach niż realizacja projektu, kwalifikowana jest tylko ta część odpisu amortyzacyjnego, która odpowiada proporcji wykorzystania budynków w celu realizacji projektu objętego pomocą. </w:t>
      </w:r>
    </w:p>
    <w:p w:rsidR="00766B65" w:rsidRDefault="00766B65" w:rsidP="00766B65">
      <w:pPr>
        <w:pStyle w:val="Akapitzlist"/>
        <w:numPr>
          <w:ilvl w:val="0"/>
          <w:numId w:val="43"/>
        </w:numPr>
        <w:autoSpaceDE w:val="0"/>
        <w:autoSpaceDN w:val="0"/>
        <w:adjustRightInd w:val="0"/>
        <w:spacing w:after="120" w:line="240" w:lineRule="auto"/>
        <w:jc w:val="both"/>
      </w:pPr>
      <w:r w:rsidRPr="00F83F40">
        <w:t>W przypadku</w:t>
      </w:r>
      <w:r>
        <w:t xml:space="preserve"> wydatków lub</w:t>
      </w:r>
      <w:r w:rsidRPr="00766B65">
        <w:rPr>
          <w:b/>
          <w:bCs/>
        </w:rPr>
        <w:t xml:space="preserve">kosztów budynków i gruntów </w:t>
      </w:r>
      <w:r w:rsidRPr="00F83F40">
        <w:t xml:space="preserve">łączna kwota wydatków kwalifikowanych w projekcie </w:t>
      </w:r>
      <w:r w:rsidRPr="00766B65">
        <w:rPr>
          <w:b/>
          <w:bCs/>
        </w:rPr>
        <w:t xml:space="preserve">nie może przekroczyć 10% </w:t>
      </w:r>
      <w:r w:rsidRPr="00F83F40">
        <w:t xml:space="preserve">całkowitych </w:t>
      </w:r>
      <w:r w:rsidRPr="00766B65">
        <w:rPr>
          <w:b/>
          <w:bCs/>
        </w:rPr>
        <w:t>kosztów kwalifikowanych projektu</w:t>
      </w:r>
      <w:r>
        <w:t xml:space="preserve">, </w:t>
      </w:r>
      <w:r w:rsidRPr="00766B65">
        <w:rPr>
          <w:bCs/>
        </w:rPr>
        <w:t>przy czym w przypadku terenów poprzemysłowych oraz terenów opuszczonych limit ten wynosi 15%</w:t>
      </w:r>
      <w:r w:rsidRPr="00F83F40">
        <w:t>.</w:t>
      </w:r>
    </w:p>
    <w:p w:rsidR="00766B65" w:rsidRDefault="00766B65" w:rsidP="00766B65">
      <w:pPr>
        <w:pStyle w:val="Akapitzlist"/>
        <w:autoSpaceDE w:val="0"/>
        <w:autoSpaceDN w:val="0"/>
        <w:adjustRightInd w:val="0"/>
        <w:spacing w:after="120" w:line="240" w:lineRule="auto"/>
        <w:ind w:left="1069"/>
        <w:jc w:val="both"/>
      </w:pPr>
    </w:p>
    <w:p w:rsidR="00244999" w:rsidRPr="00397C8A" w:rsidRDefault="00244999" w:rsidP="00244999">
      <w:pPr>
        <w:pStyle w:val="Akapitzlist"/>
        <w:tabs>
          <w:tab w:val="left" w:pos="709"/>
        </w:tabs>
        <w:autoSpaceDE w:val="0"/>
        <w:autoSpaceDN w:val="0"/>
        <w:adjustRightInd w:val="0"/>
        <w:spacing w:after="0" w:line="240" w:lineRule="auto"/>
        <w:ind w:left="709"/>
        <w:jc w:val="both"/>
        <w:rPr>
          <w:b/>
          <w:lang w:eastAsia="pl-PL"/>
        </w:rPr>
      </w:pPr>
      <w:r w:rsidRPr="00397C8A">
        <w:rPr>
          <w:b/>
          <w:lang w:eastAsia="pl-PL"/>
        </w:rPr>
        <w:t xml:space="preserve">Wydatek w postaci zakupu gruntu może zostać poniesiony przed dniem </w:t>
      </w:r>
      <w:r w:rsidRPr="00397C8A">
        <w:rPr>
          <w:rFonts w:cs="Calibri"/>
          <w:b/>
        </w:rPr>
        <w:t>rozpoczęcia rzeczowej realizacji Projektu (rozpoczęcia prac)</w:t>
      </w:r>
      <w:r w:rsidRPr="00397C8A">
        <w:rPr>
          <w:b/>
          <w:lang w:eastAsia="pl-PL"/>
        </w:rPr>
        <w:t>, jednakże nie wcześniej niż przed 01.01.2014 r.</w:t>
      </w:r>
    </w:p>
    <w:p w:rsidR="00A16F00" w:rsidRDefault="00A16F00" w:rsidP="00A16F00">
      <w:pPr>
        <w:pStyle w:val="Akapitzlist"/>
        <w:tabs>
          <w:tab w:val="left" w:pos="709"/>
        </w:tabs>
        <w:autoSpaceDE w:val="0"/>
        <w:autoSpaceDN w:val="0"/>
        <w:adjustRightInd w:val="0"/>
        <w:spacing w:after="0" w:line="240" w:lineRule="auto"/>
        <w:ind w:left="709"/>
        <w:jc w:val="both"/>
        <w:rPr>
          <w:lang w:eastAsia="pl-PL"/>
        </w:rPr>
      </w:pPr>
    </w:p>
    <w:p w:rsidR="00520891" w:rsidRPr="00867754" w:rsidRDefault="00867754" w:rsidP="00867754">
      <w:pPr>
        <w:pStyle w:val="Default"/>
        <w:numPr>
          <w:ilvl w:val="0"/>
          <w:numId w:val="38"/>
        </w:numPr>
        <w:rPr>
          <w:sz w:val="22"/>
          <w:szCs w:val="22"/>
        </w:rPr>
      </w:pPr>
      <w:r>
        <w:rPr>
          <w:sz w:val="22"/>
          <w:szCs w:val="22"/>
        </w:rPr>
        <w:t xml:space="preserve">Kwalifikowalna jest budowa/przebudowa/rozbudowa/modernizacja  nieruchomości zabudowanej </w:t>
      </w:r>
      <w:r>
        <w:rPr>
          <w:b/>
          <w:bCs/>
          <w:sz w:val="22"/>
          <w:szCs w:val="22"/>
        </w:rPr>
        <w:t xml:space="preserve">nie przekraczająca 50% </w:t>
      </w:r>
      <w:r>
        <w:rPr>
          <w:sz w:val="22"/>
          <w:szCs w:val="22"/>
        </w:rPr>
        <w:t xml:space="preserve">całkowitych </w:t>
      </w:r>
      <w:r>
        <w:rPr>
          <w:b/>
          <w:bCs/>
          <w:sz w:val="22"/>
          <w:szCs w:val="22"/>
        </w:rPr>
        <w:t>kosztów kwalifikowanych projektu</w:t>
      </w:r>
      <w:r>
        <w:rPr>
          <w:sz w:val="22"/>
          <w:szCs w:val="22"/>
        </w:rPr>
        <w:t>.</w:t>
      </w:r>
    </w:p>
    <w:p w:rsidR="00F83F40" w:rsidRPr="00F83F40" w:rsidRDefault="00F83F40" w:rsidP="00F83F40">
      <w:pPr>
        <w:pStyle w:val="Akapitzlist"/>
        <w:numPr>
          <w:ilvl w:val="0"/>
          <w:numId w:val="38"/>
        </w:numPr>
        <w:autoSpaceDE w:val="0"/>
        <w:autoSpaceDN w:val="0"/>
        <w:adjustRightInd w:val="0"/>
        <w:spacing w:after="0" w:line="240" w:lineRule="auto"/>
        <w:jc w:val="both"/>
        <w:rPr>
          <w:rFonts w:cs="Arial"/>
        </w:rPr>
      </w:pPr>
      <w:r w:rsidRPr="00F83F40">
        <w:rPr>
          <w:rFonts w:cs="Arial"/>
        </w:rPr>
        <w:t>Nabycie</w:t>
      </w:r>
      <w:r w:rsidRPr="00F83F40">
        <w:rPr>
          <w:rFonts w:cs="Arial"/>
          <w:b/>
        </w:rPr>
        <w:t xml:space="preserve"> w</w:t>
      </w:r>
      <w:r w:rsidR="00520891">
        <w:rPr>
          <w:rFonts w:cs="Arial"/>
          <w:b/>
        </w:rPr>
        <w:t>artości niematerialnych</w:t>
      </w:r>
      <w:r w:rsidRPr="00F83F40">
        <w:rPr>
          <w:rFonts w:cs="Arial"/>
          <w:b/>
        </w:rPr>
        <w:t xml:space="preserve"> i prawne</w:t>
      </w:r>
      <w:r w:rsidRPr="00F83F40">
        <w:rPr>
          <w:color w:val="211D1E"/>
        </w:rPr>
        <w:t xml:space="preserve"> w formie patentów, licencji,</w:t>
      </w:r>
      <w:r w:rsidRPr="00F83F40">
        <w:t xml:space="preserve"> know-how oraz innych praw własności intelektualnej</w:t>
      </w:r>
      <w:r w:rsidRPr="00F83F40">
        <w:rPr>
          <w:rFonts w:cs="Arial"/>
        </w:rPr>
        <w:t xml:space="preserve"> kwalifikuje się do obliczania kosztów inwestycyjnych, jeżeli spełnia następujące warunki: </w:t>
      </w:r>
    </w:p>
    <w:p w:rsidR="00F83F40" w:rsidRPr="00520891" w:rsidRDefault="00F83F40" w:rsidP="00520891">
      <w:pPr>
        <w:pStyle w:val="Akapitzlist"/>
        <w:numPr>
          <w:ilvl w:val="0"/>
          <w:numId w:val="42"/>
        </w:numPr>
        <w:autoSpaceDE w:val="0"/>
        <w:autoSpaceDN w:val="0"/>
        <w:adjustRightInd w:val="0"/>
        <w:spacing w:after="0" w:line="240" w:lineRule="auto"/>
        <w:jc w:val="both"/>
        <w:rPr>
          <w:rFonts w:cs="Arial"/>
        </w:rPr>
      </w:pPr>
      <w:r w:rsidRPr="00520891">
        <w:rPr>
          <w:rFonts w:cs="Arial"/>
        </w:rPr>
        <w:t xml:space="preserve">należy z nich korzystać wyłącznie w zakładzie otrzymującym pomoc; </w:t>
      </w:r>
    </w:p>
    <w:p w:rsidR="00F83F40" w:rsidRPr="00520891" w:rsidRDefault="00F83F40" w:rsidP="00520891">
      <w:pPr>
        <w:pStyle w:val="Akapitzlist"/>
        <w:numPr>
          <w:ilvl w:val="0"/>
          <w:numId w:val="42"/>
        </w:numPr>
        <w:autoSpaceDE w:val="0"/>
        <w:autoSpaceDN w:val="0"/>
        <w:adjustRightInd w:val="0"/>
        <w:spacing w:after="0" w:line="240" w:lineRule="auto"/>
        <w:jc w:val="both"/>
        <w:rPr>
          <w:rFonts w:cs="Arial"/>
        </w:rPr>
      </w:pPr>
      <w:r w:rsidRPr="00520891">
        <w:rPr>
          <w:rFonts w:cs="Arial"/>
        </w:rPr>
        <w:t xml:space="preserve">muszą podlegać amortyzacji; </w:t>
      </w:r>
    </w:p>
    <w:p w:rsidR="00F83F40" w:rsidRPr="00520891" w:rsidRDefault="00F83F40" w:rsidP="00520891">
      <w:pPr>
        <w:pStyle w:val="Akapitzlist"/>
        <w:numPr>
          <w:ilvl w:val="0"/>
          <w:numId w:val="42"/>
        </w:numPr>
        <w:autoSpaceDE w:val="0"/>
        <w:autoSpaceDN w:val="0"/>
        <w:adjustRightInd w:val="0"/>
        <w:spacing w:after="0" w:line="240" w:lineRule="auto"/>
        <w:jc w:val="both"/>
        <w:rPr>
          <w:rFonts w:cs="Arial"/>
        </w:rPr>
      </w:pPr>
      <w:r w:rsidRPr="00520891">
        <w:rPr>
          <w:rFonts w:cs="Arial"/>
        </w:rPr>
        <w:t xml:space="preserve">należy je nabyć na warunkach rynkowych od osób trzecich niepowiązanych z nabywcą; oraz </w:t>
      </w:r>
    </w:p>
    <w:p w:rsidR="00F83F40" w:rsidRPr="00520891" w:rsidRDefault="00F83F40" w:rsidP="00520891">
      <w:pPr>
        <w:pStyle w:val="Akapitzlist"/>
        <w:numPr>
          <w:ilvl w:val="0"/>
          <w:numId w:val="42"/>
        </w:numPr>
        <w:autoSpaceDE w:val="0"/>
        <w:autoSpaceDN w:val="0"/>
        <w:adjustRightInd w:val="0"/>
        <w:spacing w:after="0" w:line="240" w:lineRule="auto"/>
        <w:jc w:val="both"/>
        <w:rPr>
          <w:rFonts w:cs="Arial"/>
        </w:rPr>
      </w:pPr>
      <w:r w:rsidRPr="00520891">
        <w:rPr>
          <w:rFonts w:cs="Arial"/>
        </w:rPr>
        <w:t xml:space="preserve">muszą być włączone do aktywów przedsiębiorstwa otrzymującego pomoc i muszą pozostać związane z projektem, na który przyznano pomoc, przez co najmniej pięć lat lub trzy lata w przypadku MŚP. </w:t>
      </w:r>
    </w:p>
    <w:p w:rsidR="00F83F40" w:rsidRPr="00F83F40" w:rsidRDefault="00F83F40" w:rsidP="00F83F40">
      <w:pPr>
        <w:autoSpaceDE w:val="0"/>
        <w:autoSpaceDN w:val="0"/>
        <w:adjustRightInd w:val="0"/>
        <w:spacing w:after="0" w:line="240" w:lineRule="auto"/>
        <w:ind w:left="360"/>
        <w:jc w:val="both"/>
        <w:rPr>
          <w:rFonts w:cs="Arial"/>
        </w:rPr>
      </w:pPr>
    </w:p>
    <w:p w:rsidR="00F83F40" w:rsidRDefault="00F83F40" w:rsidP="00520891">
      <w:pPr>
        <w:autoSpaceDE w:val="0"/>
        <w:autoSpaceDN w:val="0"/>
        <w:adjustRightInd w:val="0"/>
        <w:spacing w:after="0" w:line="240" w:lineRule="auto"/>
        <w:ind w:left="709"/>
        <w:jc w:val="both"/>
        <w:rPr>
          <w:rFonts w:cs="Arial"/>
        </w:rPr>
      </w:pPr>
      <w:r w:rsidRPr="00F83F40">
        <w:rPr>
          <w:rFonts w:cs="Arial"/>
        </w:rPr>
        <w:t>W przypadku dużych przedsiębiorstw koszty wartości niematerialnych i prawnych są kwalifikowalne jedynie do wysokości 50 % całkowitych kwalifikowalnych kosztów inwestycji początkowej.</w:t>
      </w:r>
    </w:p>
    <w:p w:rsidR="00520891" w:rsidRPr="00F83F40" w:rsidRDefault="00520891" w:rsidP="00F83F40">
      <w:pPr>
        <w:autoSpaceDE w:val="0"/>
        <w:autoSpaceDN w:val="0"/>
        <w:adjustRightInd w:val="0"/>
        <w:spacing w:after="0" w:line="240" w:lineRule="auto"/>
        <w:ind w:left="360"/>
        <w:jc w:val="both"/>
        <w:rPr>
          <w:rFonts w:cs="Arial"/>
        </w:rPr>
      </w:pPr>
    </w:p>
    <w:p w:rsidR="00F83F40" w:rsidRPr="00F83F40" w:rsidRDefault="00F83F40" w:rsidP="00F83F40">
      <w:pPr>
        <w:pStyle w:val="Akapitzlist"/>
        <w:numPr>
          <w:ilvl w:val="0"/>
          <w:numId w:val="38"/>
        </w:numPr>
        <w:autoSpaceDE w:val="0"/>
        <w:autoSpaceDN w:val="0"/>
        <w:adjustRightInd w:val="0"/>
        <w:spacing w:after="0" w:line="240" w:lineRule="auto"/>
        <w:jc w:val="both"/>
        <w:rPr>
          <w:rFonts w:cs="Arial"/>
        </w:rPr>
      </w:pPr>
      <w:r w:rsidRPr="00F83F40">
        <w:rPr>
          <w:rFonts w:cs="Arial"/>
        </w:rPr>
        <w:t xml:space="preserve">W przypadku ubiegania się o pomoc na zasadniczą zmianę procesu produkcji koszty kwalifikowalne muszą przekraczać koszty amortyzacji aktywów związanej z działalnością podlegającą modernizacji w ciągu poprzedzających trzech lat obrotowych. W przypadku ubiegania się o pomoc na dywersyfikację istniejącego zakładu koszty kwalifikowalne muszą </w:t>
      </w:r>
      <w:r w:rsidRPr="00F83F40">
        <w:rPr>
          <w:rFonts w:cs="Arial"/>
        </w:rPr>
        <w:lastRenderedPageBreak/>
        <w:t xml:space="preserve">przekraczać o co najmniej 200% wartość księgową ponownie wykorzystywanych aktywów, odnotowaną w roku obrotowym poprzedzającym rozpoczęcie prac. </w:t>
      </w:r>
    </w:p>
    <w:p w:rsidR="00F83F40" w:rsidRPr="00F83F40" w:rsidRDefault="00F83F40" w:rsidP="00F83F40">
      <w:pPr>
        <w:pStyle w:val="Default"/>
        <w:ind w:left="720"/>
        <w:rPr>
          <w:rFonts w:asciiTheme="minorHAnsi" w:hAnsiTheme="minorHAnsi"/>
          <w:sz w:val="22"/>
          <w:szCs w:val="22"/>
        </w:rPr>
      </w:pPr>
    </w:p>
    <w:p w:rsidR="00027A10" w:rsidRPr="00520891" w:rsidRDefault="00027A10" w:rsidP="00D61417">
      <w:pPr>
        <w:pStyle w:val="Akapitzlist"/>
        <w:numPr>
          <w:ilvl w:val="0"/>
          <w:numId w:val="21"/>
        </w:numPr>
        <w:spacing w:after="0" w:line="240" w:lineRule="auto"/>
        <w:ind w:left="426" w:hanging="426"/>
        <w:jc w:val="both"/>
        <w:rPr>
          <w:rFonts w:eastAsia="Times New Roman" w:cs="Times New Roman"/>
          <w:b/>
          <w:lang w:eastAsia="pl-PL"/>
        </w:rPr>
      </w:pPr>
      <w:r w:rsidRPr="00520891">
        <w:rPr>
          <w:rFonts w:eastAsia="Times New Roman" w:cs="Times New Roman"/>
          <w:b/>
          <w:lang w:eastAsia="pl-PL"/>
        </w:rPr>
        <w:t>Koszty związane z leasingiem</w:t>
      </w:r>
    </w:p>
    <w:p w:rsidR="00027A10" w:rsidRPr="00520891" w:rsidRDefault="00027A10" w:rsidP="00027A10">
      <w:pPr>
        <w:pStyle w:val="Akapitzlist"/>
        <w:spacing w:after="0" w:line="240" w:lineRule="auto"/>
        <w:ind w:left="786"/>
        <w:jc w:val="both"/>
        <w:rPr>
          <w:rFonts w:eastAsia="Times New Roman" w:cs="Times New Roman"/>
          <w:b/>
          <w:lang w:eastAsia="pl-PL"/>
        </w:rPr>
      </w:pPr>
    </w:p>
    <w:p w:rsidR="00027A10" w:rsidRPr="00520891" w:rsidRDefault="00027A10" w:rsidP="00027A10">
      <w:pPr>
        <w:pStyle w:val="Default"/>
        <w:jc w:val="both"/>
        <w:rPr>
          <w:rFonts w:asciiTheme="minorHAnsi" w:hAnsiTheme="minorHAnsi"/>
          <w:sz w:val="22"/>
          <w:szCs w:val="22"/>
        </w:rPr>
      </w:pPr>
      <w:r w:rsidRPr="00520891">
        <w:rPr>
          <w:rFonts w:asciiTheme="minorHAnsi" w:hAnsiTheme="minorHAnsi"/>
          <w:sz w:val="22"/>
          <w:szCs w:val="22"/>
        </w:rPr>
        <w:t xml:space="preserve">W </w:t>
      </w:r>
      <w:r w:rsidR="00A16F00">
        <w:rPr>
          <w:rFonts w:asciiTheme="minorHAnsi" w:hAnsiTheme="minorHAnsi"/>
          <w:b/>
          <w:bCs/>
          <w:sz w:val="22"/>
          <w:szCs w:val="22"/>
        </w:rPr>
        <w:t xml:space="preserve">przypadku leasingu </w:t>
      </w:r>
      <w:r w:rsidRPr="00520891">
        <w:rPr>
          <w:rFonts w:asciiTheme="minorHAnsi" w:hAnsiTheme="minorHAnsi"/>
          <w:sz w:val="22"/>
          <w:szCs w:val="22"/>
        </w:rPr>
        <w:t xml:space="preserve">koszt kwalifikowany stanowi kwota przypadająca na </w:t>
      </w:r>
      <w:r w:rsidRPr="00520891">
        <w:rPr>
          <w:rFonts w:asciiTheme="minorHAnsi" w:hAnsiTheme="minorHAnsi"/>
          <w:b/>
          <w:bCs/>
          <w:sz w:val="22"/>
          <w:szCs w:val="22"/>
        </w:rPr>
        <w:t xml:space="preserve">część raty leasingowej </w:t>
      </w:r>
      <w:r w:rsidRPr="00520891">
        <w:rPr>
          <w:rFonts w:asciiTheme="minorHAnsi" w:hAnsiTheme="minorHAnsi"/>
          <w:sz w:val="22"/>
          <w:szCs w:val="22"/>
        </w:rPr>
        <w:t xml:space="preserve">wystawionej na rzecz beneficjenta </w:t>
      </w:r>
      <w:r w:rsidRPr="00520891">
        <w:rPr>
          <w:rFonts w:asciiTheme="minorHAnsi" w:hAnsiTheme="minorHAnsi"/>
          <w:b/>
          <w:bCs/>
          <w:sz w:val="22"/>
          <w:szCs w:val="22"/>
        </w:rPr>
        <w:t xml:space="preserve">związanej ze spłatą kapitału </w:t>
      </w:r>
      <w:r w:rsidRPr="00520891">
        <w:rPr>
          <w:rFonts w:asciiTheme="minorHAnsi" w:hAnsiTheme="minorHAnsi"/>
          <w:sz w:val="22"/>
          <w:szCs w:val="22"/>
        </w:rPr>
        <w:t xml:space="preserve">(bez części odsetkowej i innych opłat) przedmiotu umowy leasingu. </w:t>
      </w:r>
    </w:p>
    <w:p w:rsidR="00027A10" w:rsidRPr="00520891" w:rsidRDefault="00027A10" w:rsidP="00027A10">
      <w:pPr>
        <w:pStyle w:val="Default"/>
        <w:jc w:val="both"/>
        <w:rPr>
          <w:rFonts w:asciiTheme="minorHAnsi" w:hAnsiTheme="minorHAnsi"/>
          <w:sz w:val="22"/>
          <w:szCs w:val="22"/>
        </w:rPr>
      </w:pPr>
      <w:r w:rsidRPr="00520891">
        <w:rPr>
          <w:rFonts w:asciiTheme="minorHAnsi" w:hAnsiTheme="minorHAnsi"/>
          <w:sz w:val="22"/>
          <w:szCs w:val="22"/>
        </w:rPr>
        <w:t xml:space="preserve">W przypadku kosztów leasingu maksymalna kwota wydatków kwalifikowalnych nie może przekroczyć rynkowej wartości dobra będącego przedmiotem leasingu. Oznacza to, że kwota kosztów kwalifikowanych nie może być wyższa, niż: </w:t>
      </w:r>
    </w:p>
    <w:p w:rsidR="00027A10" w:rsidRPr="00520891" w:rsidRDefault="00027A10" w:rsidP="00D61417">
      <w:pPr>
        <w:pStyle w:val="Default"/>
        <w:numPr>
          <w:ilvl w:val="0"/>
          <w:numId w:val="27"/>
        </w:numPr>
        <w:spacing w:after="18"/>
        <w:ind w:left="425" w:hanging="425"/>
        <w:jc w:val="both"/>
        <w:rPr>
          <w:rFonts w:asciiTheme="minorHAnsi" w:hAnsiTheme="minorHAnsi"/>
          <w:sz w:val="22"/>
          <w:szCs w:val="22"/>
        </w:rPr>
      </w:pPr>
      <w:r w:rsidRPr="00520891">
        <w:rPr>
          <w:rFonts w:asciiTheme="minorHAnsi" w:hAnsiTheme="minorHAnsi"/>
          <w:sz w:val="22"/>
          <w:szCs w:val="22"/>
        </w:rPr>
        <w:t xml:space="preserve">kwota, na którą opiewa dowód zakupu wystawiony leasingodawcy przez dostawcę współfinansowanego dobra – w przypadku dóbr zakupionych nie wcześniej niż w okresie 12 miesięcy przed złożeniem przez beneficjenta wniosku o dofinansowanie, </w:t>
      </w:r>
    </w:p>
    <w:p w:rsidR="00027A10" w:rsidRPr="00520891" w:rsidRDefault="00027A10" w:rsidP="00D61417">
      <w:pPr>
        <w:pStyle w:val="Default"/>
        <w:numPr>
          <w:ilvl w:val="0"/>
          <w:numId w:val="27"/>
        </w:numPr>
        <w:ind w:left="425" w:hanging="425"/>
        <w:jc w:val="both"/>
        <w:rPr>
          <w:rFonts w:asciiTheme="minorHAnsi" w:hAnsiTheme="minorHAnsi"/>
          <w:sz w:val="22"/>
          <w:szCs w:val="22"/>
        </w:rPr>
      </w:pPr>
      <w:r w:rsidRPr="00520891">
        <w:rPr>
          <w:rFonts w:asciiTheme="minorHAnsi" w:hAnsiTheme="minorHAnsi"/>
          <w:sz w:val="22"/>
          <w:szCs w:val="22"/>
        </w:rPr>
        <w:t xml:space="preserve">rynkowa wartość dobra będącego przedmiotem leasingu określona w wycenie sporządzonej przez uprawnionego rzeczoznawcę lub w wycenie sporządzonej w oparciu o metodologię przedstawioną przez beneficjenta – w przypadku dóbr zakupionych wcześniej niż w okresie 12 miesięcy przed złożeniem przez beneficjenta wniosku o dofinansowanie. Wycena może zostać zastąpiona udokumentowaniem wyboru przedmiotu leasingu w procedurze przetargowej zapewniającej zachowanie uczciwej konkurencji. </w:t>
      </w:r>
    </w:p>
    <w:p w:rsidR="007E5712" w:rsidRDefault="003511C4" w:rsidP="00027A10">
      <w:pPr>
        <w:pStyle w:val="Akapitzlist"/>
        <w:autoSpaceDE w:val="0"/>
        <w:autoSpaceDN w:val="0"/>
        <w:adjustRightInd w:val="0"/>
        <w:spacing w:after="120" w:line="240" w:lineRule="auto"/>
        <w:ind w:left="284"/>
        <w:jc w:val="both"/>
        <w:rPr>
          <w:rFonts w:cs="Arial"/>
          <w:b/>
        </w:rPr>
      </w:pPr>
      <w:r>
        <w:rPr>
          <w:rFonts w:cs="Arial"/>
          <w:b/>
        </w:rPr>
        <w:tab/>
      </w:r>
    </w:p>
    <w:p w:rsidR="00123987" w:rsidRDefault="00123987" w:rsidP="00123987">
      <w:pPr>
        <w:pStyle w:val="Akapitzlist"/>
        <w:autoSpaceDE w:val="0"/>
        <w:autoSpaceDN w:val="0"/>
        <w:adjustRightInd w:val="0"/>
        <w:spacing w:after="120" w:line="240" w:lineRule="auto"/>
        <w:ind w:left="284"/>
        <w:jc w:val="both"/>
        <w:rPr>
          <w:rFonts w:cs="Arial"/>
          <w:b/>
        </w:rPr>
      </w:pPr>
    </w:p>
    <w:p w:rsidR="00BD01C4" w:rsidRPr="00027A10" w:rsidRDefault="00E61A09" w:rsidP="00D61417">
      <w:pPr>
        <w:pStyle w:val="Akapitzlist"/>
        <w:numPr>
          <w:ilvl w:val="0"/>
          <w:numId w:val="21"/>
        </w:numPr>
        <w:tabs>
          <w:tab w:val="left" w:pos="426"/>
        </w:tabs>
        <w:autoSpaceDE w:val="0"/>
        <w:autoSpaceDN w:val="0"/>
        <w:adjustRightInd w:val="0"/>
        <w:spacing w:after="120" w:line="240" w:lineRule="auto"/>
        <w:ind w:left="567" w:hanging="567"/>
        <w:jc w:val="both"/>
        <w:rPr>
          <w:rFonts w:cs="Arial"/>
          <w:b/>
        </w:rPr>
      </w:pPr>
      <w:r>
        <w:rPr>
          <w:rFonts w:cs="Arial"/>
          <w:b/>
        </w:rPr>
        <w:t>K</w:t>
      </w:r>
      <w:r w:rsidR="00BD01C4" w:rsidRPr="00027A10">
        <w:rPr>
          <w:rFonts w:cs="Arial"/>
          <w:b/>
        </w:rPr>
        <w:t xml:space="preserve">oszty </w:t>
      </w:r>
      <w:r w:rsidR="00BD3A80">
        <w:rPr>
          <w:rFonts w:cs="Arial"/>
          <w:b/>
        </w:rPr>
        <w:t xml:space="preserve">opłat finansowych, </w:t>
      </w:r>
      <w:r w:rsidR="00BD01C4" w:rsidRPr="00027A10">
        <w:rPr>
          <w:rFonts w:cs="Arial"/>
          <w:b/>
        </w:rPr>
        <w:t xml:space="preserve">doradztwa i </w:t>
      </w:r>
      <w:r w:rsidR="00BD3A80">
        <w:rPr>
          <w:rFonts w:cs="Arial"/>
          <w:b/>
        </w:rPr>
        <w:t xml:space="preserve">innych usług związanych wyłącznie z realizacją </w:t>
      </w:r>
      <w:r w:rsidR="00027A10" w:rsidRPr="00027A10">
        <w:rPr>
          <w:rFonts w:cs="Arial"/>
          <w:b/>
        </w:rPr>
        <w:t>projektu</w:t>
      </w:r>
    </w:p>
    <w:p w:rsidR="000D2912" w:rsidRPr="001C528A" w:rsidRDefault="00BE7A1F" w:rsidP="00D61417">
      <w:pPr>
        <w:autoSpaceDE w:val="0"/>
        <w:autoSpaceDN w:val="0"/>
        <w:adjustRightInd w:val="0"/>
        <w:spacing w:after="0" w:line="240" w:lineRule="auto"/>
        <w:jc w:val="both"/>
        <w:rPr>
          <w:rFonts w:cs="Arial"/>
          <w:i/>
          <w:iCs/>
        </w:rPr>
      </w:pPr>
      <w:r w:rsidRPr="001C528A">
        <w:rPr>
          <w:rFonts w:cs="Arial"/>
        </w:rPr>
        <w:t xml:space="preserve">Do wyżej wymienionych kosztów kwalifikowalnych zalicza się poniższe wydatki, </w:t>
      </w:r>
      <w:r w:rsidR="000D2912" w:rsidRPr="001C528A">
        <w:rPr>
          <w:rFonts w:cs="Arial"/>
        </w:rPr>
        <w:t xml:space="preserve">o ile </w:t>
      </w:r>
      <w:r w:rsidRPr="001C528A">
        <w:rPr>
          <w:rFonts w:cs="Arial"/>
        </w:rPr>
        <w:t>s</w:t>
      </w:r>
      <w:r w:rsidR="000D2912" w:rsidRPr="001C528A">
        <w:rPr>
          <w:rFonts w:cs="Arial"/>
        </w:rPr>
        <w:t xml:space="preserve">pełniają </w:t>
      </w:r>
      <w:r w:rsidRPr="001C528A">
        <w:rPr>
          <w:rFonts w:cs="Arial"/>
        </w:rPr>
        <w:t xml:space="preserve">one </w:t>
      </w:r>
      <w:r w:rsidR="000D2912" w:rsidRPr="001C528A">
        <w:rPr>
          <w:rFonts w:cs="Arial"/>
        </w:rPr>
        <w:t>pozostałe warunki kwalifikowalności wydatków</w:t>
      </w:r>
      <w:r w:rsidR="00891277">
        <w:rPr>
          <w:rFonts w:cs="Arial"/>
        </w:rPr>
        <w:t xml:space="preserve"> </w:t>
      </w:r>
      <w:r w:rsidR="000D2912" w:rsidRPr="001C528A">
        <w:rPr>
          <w:rFonts w:cs="Arial"/>
        </w:rPr>
        <w:t xml:space="preserve">określone w </w:t>
      </w:r>
      <w:r w:rsidR="000D2912" w:rsidRPr="001C528A">
        <w:rPr>
          <w:rFonts w:cs="Arial"/>
          <w:i/>
          <w:iCs/>
        </w:rPr>
        <w:t>Wytycznych</w:t>
      </w:r>
      <w:r w:rsidRPr="001C528A">
        <w:rPr>
          <w:rStyle w:val="Odwoanieprzypisudolnego"/>
          <w:rFonts w:cs="Arial"/>
          <w:i/>
          <w:iCs/>
        </w:rPr>
        <w:footnoteReference w:id="3"/>
      </w:r>
      <w:r w:rsidR="000D2912" w:rsidRPr="001C528A">
        <w:rPr>
          <w:rFonts w:cs="Arial"/>
          <w:i/>
          <w:iCs/>
        </w:rPr>
        <w:t>:</w:t>
      </w:r>
    </w:p>
    <w:p w:rsidR="000D2912" w:rsidRPr="003B0727" w:rsidRDefault="000D2912" w:rsidP="00D61417">
      <w:pPr>
        <w:pStyle w:val="Akapitzlist"/>
        <w:numPr>
          <w:ilvl w:val="0"/>
          <w:numId w:val="30"/>
        </w:numPr>
        <w:autoSpaceDE w:val="0"/>
        <w:autoSpaceDN w:val="0"/>
        <w:adjustRightInd w:val="0"/>
        <w:spacing w:after="0" w:line="240" w:lineRule="auto"/>
        <w:ind w:left="426" w:hanging="426"/>
        <w:jc w:val="both"/>
        <w:rPr>
          <w:rFonts w:cs="Arial"/>
        </w:rPr>
      </w:pPr>
      <w:r w:rsidRPr="003B0727">
        <w:rPr>
          <w:rFonts w:cs="Arial"/>
        </w:rPr>
        <w:t>opłaty finansowe:</w:t>
      </w:r>
    </w:p>
    <w:p w:rsidR="000D2912" w:rsidRPr="003B0727" w:rsidRDefault="000D2912" w:rsidP="00D61417">
      <w:pPr>
        <w:pStyle w:val="Akapitzlist"/>
        <w:numPr>
          <w:ilvl w:val="0"/>
          <w:numId w:val="31"/>
        </w:numPr>
        <w:autoSpaceDE w:val="0"/>
        <w:autoSpaceDN w:val="0"/>
        <w:adjustRightInd w:val="0"/>
        <w:spacing w:after="0" w:line="240" w:lineRule="auto"/>
        <w:ind w:left="709" w:hanging="284"/>
        <w:jc w:val="both"/>
        <w:rPr>
          <w:rFonts w:cs="Arial"/>
        </w:rPr>
      </w:pPr>
      <w:r w:rsidRPr="003B0727">
        <w:rPr>
          <w:rFonts w:cs="Arial"/>
        </w:rPr>
        <w:t>wydatki związane z otwarciem oraz prowadzeniem wyodrębnionego</w:t>
      </w:r>
      <w:r w:rsidR="00891277">
        <w:rPr>
          <w:rFonts w:cs="Arial"/>
        </w:rPr>
        <w:t xml:space="preserve"> </w:t>
      </w:r>
      <w:r w:rsidRPr="003B0727">
        <w:rPr>
          <w:rFonts w:cs="Arial"/>
        </w:rPr>
        <w:t>rachunku bankow</w:t>
      </w:r>
      <w:r w:rsidR="007E5712" w:rsidRPr="003B0727">
        <w:rPr>
          <w:rFonts w:cs="Arial"/>
        </w:rPr>
        <w:t>ego/subkonta związanego z obsługą zaliczki</w:t>
      </w:r>
    </w:p>
    <w:p w:rsidR="000D2912" w:rsidRPr="001C528A" w:rsidRDefault="000D2912" w:rsidP="00D61417">
      <w:pPr>
        <w:pStyle w:val="Akapitzlist"/>
        <w:numPr>
          <w:ilvl w:val="0"/>
          <w:numId w:val="31"/>
        </w:numPr>
        <w:autoSpaceDE w:val="0"/>
        <w:autoSpaceDN w:val="0"/>
        <w:adjustRightInd w:val="0"/>
        <w:spacing w:after="0" w:line="240" w:lineRule="auto"/>
        <w:ind w:left="709" w:hanging="284"/>
        <w:jc w:val="both"/>
        <w:rPr>
          <w:rFonts w:cs="Arial"/>
        </w:rPr>
      </w:pPr>
      <w:r w:rsidRPr="001C528A">
        <w:rPr>
          <w:rFonts w:cs="Arial"/>
        </w:rPr>
        <w:t>opłaty pobierane od dokonywanych transakcji finansowych (krajowych lub</w:t>
      </w:r>
      <w:r w:rsidR="00891277">
        <w:rPr>
          <w:rFonts w:cs="Arial"/>
        </w:rPr>
        <w:t xml:space="preserve"> </w:t>
      </w:r>
      <w:r w:rsidRPr="001C528A">
        <w:rPr>
          <w:rFonts w:cs="Arial"/>
        </w:rPr>
        <w:t>zagranicznych), z wyjątkiem prowizji pobieranych w ramach wymiany walut,</w:t>
      </w:r>
      <w:r w:rsidR="00891277">
        <w:rPr>
          <w:rFonts w:cs="Arial"/>
        </w:rPr>
        <w:t xml:space="preserve"> </w:t>
      </w:r>
      <w:r w:rsidRPr="001C528A">
        <w:rPr>
          <w:rFonts w:cs="Arial"/>
        </w:rPr>
        <w:t xml:space="preserve">o których mowa w podrozdziale 6.3 pkt 1 lit. a </w:t>
      </w:r>
      <w:r w:rsidRPr="001C528A">
        <w:rPr>
          <w:rFonts w:cs="Arial"/>
          <w:i/>
          <w:iCs/>
        </w:rPr>
        <w:t>Wytycznych</w:t>
      </w:r>
      <w:r w:rsidR="00BE7A1F" w:rsidRPr="001C528A">
        <w:rPr>
          <w:rStyle w:val="Odwoanieprzypisudolnego"/>
          <w:rFonts w:cs="Arial"/>
          <w:i/>
          <w:iCs/>
        </w:rPr>
        <w:footnoteReference w:id="4"/>
      </w:r>
      <w:r w:rsidRPr="001C528A">
        <w:rPr>
          <w:rFonts w:cs="Arial"/>
        </w:rPr>
        <w:t>,</w:t>
      </w:r>
    </w:p>
    <w:p w:rsidR="000D2912" w:rsidRPr="001C528A" w:rsidRDefault="000D2912" w:rsidP="00D61417">
      <w:pPr>
        <w:pStyle w:val="Akapitzlist"/>
        <w:numPr>
          <w:ilvl w:val="0"/>
          <w:numId w:val="30"/>
        </w:numPr>
        <w:autoSpaceDE w:val="0"/>
        <w:autoSpaceDN w:val="0"/>
        <w:adjustRightInd w:val="0"/>
        <w:spacing w:after="0" w:line="240" w:lineRule="auto"/>
        <w:ind w:left="426" w:hanging="426"/>
        <w:jc w:val="both"/>
        <w:rPr>
          <w:rFonts w:cs="Arial"/>
        </w:rPr>
      </w:pPr>
      <w:r w:rsidRPr="001C528A">
        <w:rPr>
          <w:rFonts w:cs="Arial"/>
        </w:rPr>
        <w:t>wydatki poniesione na instrumenty zabezpieczające realizację umowy</w:t>
      </w:r>
      <w:r w:rsidR="00891277">
        <w:rPr>
          <w:rFonts w:cs="Arial"/>
        </w:rPr>
        <w:t xml:space="preserve"> </w:t>
      </w:r>
      <w:r w:rsidRPr="001C528A">
        <w:rPr>
          <w:rFonts w:cs="Arial"/>
        </w:rPr>
        <w:t>o dofinansowanie, o ile ich poniesienie wymagane jest przez prawo krajowe lub</w:t>
      </w:r>
      <w:r w:rsidR="00891277">
        <w:rPr>
          <w:rFonts w:cs="Arial"/>
        </w:rPr>
        <w:t xml:space="preserve"> </w:t>
      </w:r>
      <w:r w:rsidRPr="001C528A">
        <w:rPr>
          <w:rFonts w:cs="Arial"/>
        </w:rPr>
        <w:t>unijne lub przez IZ PO,</w:t>
      </w:r>
    </w:p>
    <w:p w:rsidR="000D2912" w:rsidRPr="001C528A" w:rsidRDefault="000D2912" w:rsidP="00D61417">
      <w:pPr>
        <w:pStyle w:val="Akapitzlist"/>
        <w:numPr>
          <w:ilvl w:val="0"/>
          <w:numId w:val="30"/>
        </w:numPr>
        <w:autoSpaceDE w:val="0"/>
        <w:autoSpaceDN w:val="0"/>
        <w:adjustRightInd w:val="0"/>
        <w:spacing w:after="0" w:line="240" w:lineRule="auto"/>
        <w:ind w:left="426" w:hanging="426"/>
        <w:jc w:val="both"/>
        <w:rPr>
          <w:rFonts w:cs="Arial"/>
        </w:rPr>
      </w:pPr>
      <w:r w:rsidRPr="001C528A">
        <w:rPr>
          <w:rFonts w:cs="Arial"/>
        </w:rPr>
        <w:t xml:space="preserve">wydatki poniesione na doradztwo związane z </w:t>
      </w:r>
      <w:r w:rsidR="00BD3A80" w:rsidRPr="001C528A">
        <w:rPr>
          <w:rFonts w:cs="Arial"/>
        </w:rPr>
        <w:t>realizacją</w:t>
      </w:r>
      <w:r w:rsidRPr="001C528A">
        <w:rPr>
          <w:rFonts w:cs="Arial"/>
        </w:rPr>
        <w:t xml:space="preserve"> projektu</w:t>
      </w:r>
      <w:r w:rsidR="00BD3A80" w:rsidRPr="001C528A">
        <w:rPr>
          <w:rFonts w:cs="Arial"/>
        </w:rPr>
        <w:t xml:space="preserve"> jeżeli będą świadczone przez doradców zewnętrznych oraz nie będą miały charakteru ciągłego ani okresowego, ani też nie będą związane ze zwykłymi kosztami operacyjnymi przedsiębiorstwa, takimi jak rutynowe usługi doradztwa podatkowego, regularne usługi prawnicze itp.</w:t>
      </w:r>
      <w:r w:rsidRPr="001C528A">
        <w:rPr>
          <w:rFonts w:cs="Arial"/>
        </w:rPr>
        <w:t>:</w:t>
      </w:r>
    </w:p>
    <w:p w:rsidR="000D2912" w:rsidRPr="001C528A" w:rsidRDefault="000D2912" w:rsidP="00D61417">
      <w:pPr>
        <w:pStyle w:val="Akapitzlist"/>
        <w:numPr>
          <w:ilvl w:val="0"/>
          <w:numId w:val="32"/>
        </w:numPr>
        <w:autoSpaceDE w:val="0"/>
        <w:autoSpaceDN w:val="0"/>
        <w:adjustRightInd w:val="0"/>
        <w:spacing w:after="0" w:line="240" w:lineRule="auto"/>
        <w:ind w:left="709" w:hanging="283"/>
        <w:jc w:val="both"/>
        <w:rPr>
          <w:rFonts w:cs="Arial"/>
          <w:i/>
          <w:iCs/>
        </w:rPr>
      </w:pPr>
      <w:r w:rsidRPr="001C528A">
        <w:rPr>
          <w:rFonts w:cs="Arial"/>
        </w:rPr>
        <w:t>prawne, z wyjątkiem wydatków związanych z przygotowaniem i obsługą spraw</w:t>
      </w:r>
      <w:r w:rsidR="00891277">
        <w:rPr>
          <w:rFonts w:cs="Arial"/>
        </w:rPr>
        <w:t xml:space="preserve"> </w:t>
      </w:r>
      <w:r w:rsidR="001C528A" w:rsidRPr="001C528A">
        <w:rPr>
          <w:rFonts w:cs="Arial"/>
        </w:rPr>
        <w:t>sądowych, z zastrzeż</w:t>
      </w:r>
      <w:r w:rsidRPr="001C528A">
        <w:rPr>
          <w:rFonts w:cs="Arial"/>
        </w:rPr>
        <w:t xml:space="preserve">eniem podrozdziału 6.3 pkt 1 lit. i </w:t>
      </w:r>
      <w:r w:rsidRPr="001C528A">
        <w:rPr>
          <w:rFonts w:cs="Arial"/>
          <w:i/>
          <w:iCs/>
        </w:rPr>
        <w:t>Wytycznych</w:t>
      </w:r>
      <w:r w:rsidR="00BE7A1F" w:rsidRPr="001C528A">
        <w:rPr>
          <w:rStyle w:val="Odwoanieprzypisudolnego"/>
          <w:rFonts w:cs="Arial"/>
          <w:i/>
          <w:iCs/>
        </w:rPr>
        <w:footnoteReference w:id="5"/>
      </w:r>
      <w:r w:rsidRPr="001C528A">
        <w:rPr>
          <w:rFonts w:cs="Arial"/>
          <w:i/>
          <w:iCs/>
        </w:rPr>
        <w:t>,</w:t>
      </w:r>
    </w:p>
    <w:p w:rsidR="000D2912" w:rsidRPr="001C528A" w:rsidRDefault="000D2912" w:rsidP="00D61417">
      <w:pPr>
        <w:pStyle w:val="Akapitzlist"/>
        <w:numPr>
          <w:ilvl w:val="0"/>
          <w:numId w:val="32"/>
        </w:numPr>
        <w:autoSpaceDE w:val="0"/>
        <w:autoSpaceDN w:val="0"/>
        <w:adjustRightInd w:val="0"/>
        <w:spacing w:after="0" w:line="240" w:lineRule="auto"/>
        <w:ind w:left="709" w:hanging="283"/>
        <w:jc w:val="both"/>
        <w:rPr>
          <w:rFonts w:cs="Arial"/>
        </w:rPr>
      </w:pPr>
      <w:r w:rsidRPr="001C528A">
        <w:rPr>
          <w:rFonts w:cs="Arial"/>
        </w:rPr>
        <w:t>finansowe,</w:t>
      </w:r>
    </w:p>
    <w:p w:rsidR="000D2912" w:rsidRPr="001C528A" w:rsidRDefault="000D2912" w:rsidP="00D61417">
      <w:pPr>
        <w:pStyle w:val="Akapitzlist"/>
        <w:numPr>
          <w:ilvl w:val="0"/>
          <w:numId w:val="32"/>
        </w:numPr>
        <w:autoSpaceDE w:val="0"/>
        <w:autoSpaceDN w:val="0"/>
        <w:adjustRightInd w:val="0"/>
        <w:spacing w:after="0" w:line="240" w:lineRule="auto"/>
        <w:ind w:left="709" w:hanging="283"/>
        <w:jc w:val="both"/>
        <w:rPr>
          <w:rFonts w:cs="Arial"/>
        </w:rPr>
      </w:pPr>
      <w:r w:rsidRPr="001C528A">
        <w:rPr>
          <w:rFonts w:cs="Arial"/>
        </w:rPr>
        <w:t>techniczne,</w:t>
      </w:r>
    </w:p>
    <w:p w:rsidR="000D2912" w:rsidRPr="001C528A" w:rsidRDefault="000D2912" w:rsidP="00D61417">
      <w:pPr>
        <w:pStyle w:val="Akapitzlist"/>
        <w:numPr>
          <w:ilvl w:val="0"/>
          <w:numId w:val="30"/>
        </w:numPr>
        <w:autoSpaceDE w:val="0"/>
        <w:autoSpaceDN w:val="0"/>
        <w:adjustRightInd w:val="0"/>
        <w:spacing w:after="120" w:line="240" w:lineRule="auto"/>
        <w:ind w:left="426" w:hanging="426"/>
        <w:jc w:val="both"/>
        <w:rPr>
          <w:rFonts w:cs="Arial"/>
        </w:rPr>
      </w:pPr>
      <w:r w:rsidRPr="001C528A">
        <w:rPr>
          <w:rFonts w:cs="Arial"/>
        </w:rPr>
        <w:t>opłaty notarialne,</w:t>
      </w:r>
    </w:p>
    <w:p w:rsidR="000D2912" w:rsidRPr="001C528A" w:rsidRDefault="000D2912" w:rsidP="00D61417">
      <w:pPr>
        <w:pStyle w:val="Akapitzlist"/>
        <w:numPr>
          <w:ilvl w:val="0"/>
          <w:numId w:val="30"/>
        </w:numPr>
        <w:autoSpaceDE w:val="0"/>
        <w:autoSpaceDN w:val="0"/>
        <w:adjustRightInd w:val="0"/>
        <w:spacing w:after="0" w:line="240" w:lineRule="auto"/>
        <w:ind w:left="426" w:hanging="426"/>
        <w:jc w:val="both"/>
        <w:rPr>
          <w:rFonts w:cs="Arial"/>
        </w:rPr>
      </w:pPr>
      <w:r w:rsidRPr="001C528A">
        <w:rPr>
          <w:rFonts w:cs="Arial"/>
        </w:rPr>
        <w:t>opłaty administracyjne związane z uzyskiwaniem wszelkiego rodzaju pozwoleń czy</w:t>
      </w:r>
      <w:r w:rsidR="00891277">
        <w:rPr>
          <w:rFonts w:cs="Arial"/>
        </w:rPr>
        <w:t xml:space="preserve"> </w:t>
      </w:r>
      <w:r w:rsidRPr="001C528A">
        <w:rPr>
          <w:rFonts w:cs="Arial"/>
        </w:rPr>
        <w:t xml:space="preserve">zgód </w:t>
      </w:r>
      <w:r w:rsidR="00BE7A1F" w:rsidRPr="001C528A">
        <w:rPr>
          <w:rFonts w:cs="Arial"/>
        </w:rPr>
        <w:t>n</w:t>
      </w:r>
      <w:r w:rsidRPr="001C528A">
        <w:rPr>
          <w:rFonts w:cs="Arial"/>
        </w:rPr>
        <w:t>iezbędnych do realizacji projektu, o ile faktycznie zostały poniesione przez</w:t>
      </w:r>
      <w:r w:rsidR="00891277">
        <w:rPr>
          <w:rFonts w:cs="Arial"/>
        </w:rPr>
        <w:t xml:space="preserve"> </w:t>
      </w:r>
      <w:r w:rsidRPr="001C528A">
        <w:rPr>
          <w:rFonts w:cs="Arial"/>
        </w:rPr>
        <w:t>beneficjenta,</w:t>
      </w:r>
    </w:p>
    <w:p w:rsidR="000D2912" w:rsidRPr="001C528A" w:rsidRDefault="000D2912" w:rsidP="00D61417">
      <w:pPr>
        <w:pStyle w:val="Akapitzlist"/>
        <w:numPr>
          <w:ilvl w:val="0"/>
          <w:numId w:val="30"/>
        </w:numPr>
        <w:autoSpaceDE w:val="0"/>
        <w:autoSpaceDN w:val="0"/>
        <w:adjustRightInd w:val="0"/>
        <w:spacing w:after="0" w:line="240" w:lineRule="auto"/>
        <w:ind w:left="426" w:hanging="426"/>
        <w:jc w:val="both"/>
        <w:rPr>
          <w:rFonts w:cs="Arial"/>
        </w:rPr>
      </w:pPr>
      <w:r w:rsidRPr="001C528A">
        <w:rPr>
          <w:rFonts w:cs="Arial"/>
        </w:rPr>
        <w:t>wydatki poniesione z tytułu korzystania z infrastruktury udostępnionej w technologii</w:t>
      </w:r>
      <w:r w:rsidR="00891277">
        <w:rPr>
          <w:rFonts w:cs="Arial"/>
        </w:rPr>
        <w:t xml:space="preserve"> </w:t>
      </w:r>
      <w:r w:rsidRPr="001C528A">
        <w:rPr>
          <w:rFonts w:cs="Arial"/>
        </w:rPr>
        <w:t>chmury obliczeniowej.</w:t>
      </w:r>
    </w:p>
    <w:p w:rsidR="00BE7A1F" w:rsidRDefault="00BE7A1F" w:rsidP="00BE7A1F">
      <w:pPr>
        <w:pStyle w:val="Akapitzlist"/>
        <w:autoSpaceDE w:val="0"/>
        <w:autoSpaceDN w:val="0"/>
        <w:adjustRightInd w:val="0"/>
        <w:spacing w:after="0" w:line="240" w:lineRule="auto"/>
        <w:ind w:left="786"/>
        <w:rPr>
          <w:rFonts w:ascii="Arial" w:hAnsi="Arial" w:cs="Arial"/>
          <w:highlight w:val="green"/>
        </w:rPr>
      </w:pPr>
    </w:p>
    <w:p w:rsidR="006C3AB9" w:rsidRPr="00520891" w:rsidRDefault="00520891" w:rsidP="00520891">
      <w:pPr>
        <w:pStyle w:val="Akapitzlist"/>
        <w:numPr>
          <w:ilvl w:val="0"/>
          <w:numId w:val="21"/>
        </w:numPr>
        <w:autoSpaceDE w:val="0"/>
        <w:autoSpaceDN w:val="0"/>
        <w:adjustRightInd w:val="0"/>
        <w:spacing w:after="58" w:line="240" w:lineRule="auto"/>
        <w:ind w:left="426" w:hanging="426"/>
        <w:jc w:val="both"/>
        <w:rPr>
          <w:rFonts w:cs="Calibri"/>
        </w:rPr>
      </w:pPr>
      <w:r>
        <w:rPr>
          <w:rFonts w:cs="Calibri"/>
          <w:b/>
          <w:bCs/>
          <w:color w:val="000000"/>
        </w:rPr>
        <w:t>K</w:t>
      </w:r>
      <w:r w:rsidR="006C3AB9" w:rsidRPr="00520891">
        <w:rPr>
          <w:rFonts w:cs="Calibri"/>
          <w:b/>
          <w:bCs/>
          <w:color w:val="000000"/>
        </w:rPr>
        <w:t xml:space="preserve">oszty </w:t>
      </w:r>
      <w:r w:rsidR="009E42AD">
        <w:rPr>
          <w:b/>
        </w:rPr>
        <w:t>informacyjno–</w:t>
      </w:r>
      <w:r w:rsidR="00FD408A" w:rsidRPr="00520891">
        <w:rPr>
          <w:b/>
        </w:rPr>
        <w:t>promocyjne</w:t>
      </w:r>
      <w:r w:rsidR="00891277">
        <w:rPr>
          <w:b/>
        </w:rPr>
        <w:t xml:space="preserve"> </w:t>
      </w:r>
      <w:r w:rsidR="006C3AB9" w:rsidRPr="00520891">
        <w:rPr>
          <w:rFonts w:cs="Calibri"/>
          <w:b/>
          <w:bCs/>
          <w:color w:val="000000"/>
        </w:rPr>
        <w:t xml:space="preserve">projektu </w:t>
      </w:r>
      <w:r w:rsidR="00FD408A" w:rsidRPr="00520891">
        <w:t xml:space="preserve">obejmujące zarówno obowiązki informacyjne beneficjenta jak i możliwość podjęcia dodatkowych działań informacyjno-promocyjnych. </w:t>
      </w:r>
      <w:r w:rsidR="00FD408A" w:rsidRPr="00520891">
        <w:lastRenderedPageBreak/>
        <w:t xml:space="preserve">Wydatki </w:t>
      </w:r>
      <w:r w:rsidR="003511C4" w:rsidRPr="00520891">
        <w:t>nie przekraczające 2% wydatków kwalifikowalnych dla projektów o wartości poniżej 500 000 PLN wydatków kwalifikowalnych lub 1% dla projektów o wartości wydatków kwalifikowalnych powyżej 500 000 PLN. Limit weryfikowany jest jednorazowo w momencie oceny wniosku o dofinansowanie.</w:t>
      </w:r>
      <w:r w:rsidR="00FD408A" w:rsidRPr="00520891">
        <w:t xml:space="preserve"> Zasady ponoszenia kosztów w ramach tej kategorii zostały zawarte w </w:t>
      </w:r>
      <w:r w:rsidR="00FD408A" w:rsidRPr="00520891">
        <w:rPr>
          <w:bCs/>
          <w:i/>
          <w:lang w:eastAsia="pl-PL"/>
        </w:rPr>
        <w:t>Podręczniku wnioskodawcy i beneficjenta programów polityki spójności 2014-2020 w zakresie informacji i promocji</w:t>
      </w:r>
      <w:r w:rsidR="00FD408A" w:rsidRPr="00520891">
        <w:rPr>
          <w:bCs/>
          <w:lang w:eastAsia="pl-PL"/>
        </w:rPr>
        <w:t xml:space="preserve">, który stanowi załącznik do regulaminu konkursu nr </w:t>
      </w:r>
      <w:r w:rsidR="00A24B34">
        <w:rPr>
          <w:bCs/>
          <w:lang w:eastAsia="pl-PL"/>
        </w:rPr>
        <w:t>9</w:t>
      </w:r>
      <w:r w:rsidR="006C3AB9" w:rsidRPr="00520891">
        <w:rPr>
          <w:rFonts w:cs="Calibri"/>
        </w:rPr>
        <w:t xml:space="preserve">; </w:t>
      </w:r>
    </w:p>
    <w:p w:rsidR="006C3AB9" w:rsidRPr="00F04CB0" w:rsidRDefault="006C3AB9" w:rsidP="00AD6C0A">
      <w:pPr>
        <w:spacing w:line="240" w:lineRule="auto"/>
        <w:rPr>
          <w:rFonts w:cs="Arial"/>
        </w:rPr>
      </w:pPr>
    </w:p>
    <w:p w:rsidR="00E61A09" w:rsidRDefault="00E61A09" w:rsidP="00D61417">
      <w:pPr>
        <w:pStyle w:val="Akapitzlist"/>
        <w:numPr>
          <w:ilvl w:val="0"/>
          <w:numId w:val="21"/>
        </w:numPr>
        <w:spacing w:line="240" w:lineRule="auto"/>
        <w:ind w:left="284" w:hanging="284"/>
        <w:jc w:val="both"/>
        <w:rPr>
          <w:b/>
        </w:rPr>
      </w:pPr>
      <w:r>
        <w:rPr>
          <w:b/>
        </w:rPr>
        <w:t>Koszty</w:t>
      </w:r>
      <w:r w:rsidR="00A71456">
        <w:rPr>
          <w:b/>
        </w:rPr>
        <w:t xml:space="preserve"> przygotowania</w:t>
      </w:r>
      <w:r w:rsidR="007071F1" w:rsidRPr="00F701F1">
        <w:rPr>
          <w:b/>
        </w:rPr>
        <w:t xml:space="preserve"> dokumentacji projektu </w:t>
      </w:r>
    </w:p>
    <w:p w:rsidR="007071F1" w:rsidRPr="00E61A09" w:rsidRDefault="003258B6" w:rsidP="00E61A09">
      <w:pPr>
        <w:spacing w:line="240" w:lineRule="auto"/>
        <w:jc w:val="both"/>
      </w:pPr>
      <w:r>
        <w:t>Wydatek kwalifikowalny stanowić będą w</w:t>
      </w:r>
      <w:r w:rsidRPr="00E969AF">
        <w:t>ydatki na przygotowanie dokumentacji projektu</w:t>
      </w:r>
      <w:r w:rsidR="007071F1" w:rsidRPr="00E61A09">
        <w:t>(wymaganej prawem krajowym lub wspólnotowym, bądź przez IZ RPO WD) nie przekraczające 8% wartości całkowitych wydatków kwalifikowalnych projektu. Limit ten weryfikowany jest jednorazowo na etapie oceny wniosku o dofinansowanie. Wydatki poniesione na dokumenty o charakterze planistycznym, takie jak Lokalny Plan Rewitalizacji czy Program Gospodarki Niskoemisyjnej nie mogą stanowić kosztó</w:t>
      </w:r>
      <w:r w:rsidR="00F701F1" w:rsidRPr="00E61A09">
        <w:t>w kwalifikowalnych w projekcie.</w:t>
      </w:r>
    </w:p>
    <w:p w:rsidR="007071F1" w:rsidRPr="00F701F1" w:rsidRDefault="007071F1" w:rsidP="00D61417">
      <w:pPr>
        <w:spacing w:line="240" w:lineRule="auto"/>
        <w:jc w:val="both"/>
      </w:pPr>
      <w:r w:rsidRPr="00F701F1">
        <w:t xml:space="preserve">Wydatkiem kwalifikowalnym może być w szczególności wydatek poniesiony na </w:t>
      </w:r>
      <w:r w:rsidRPr="00F701F1">
        <w:rPr>
          <w:b/>
        </w:rPr>
        <w:t>opracowanie</w:t>
      </w:r>
      <w:r w:rsidRPr="00F701F1">
        <w:t xml:space="preserve"> dokumentacji związanej z przygotowaniem projektu:</w:t>
      </w:r>
    </w:p>
    <w:p w:rsidR="007071F1" w:rsidRPr="00F701F1" w:rsidRDefault="007071F1" w:rsidP="00D61417">
      <w:pPr>
        <w:pStyle w:val="Akapitzlist"/>
        <w:numPr>
          <w:ilvl w:val="0"/>
          <w:numId w:val="2"/>
        </w:numPr>
        <w:spacing w:after="0" w:line="240" w:lineRule="auto"/>
        <w:ind w:left="425" w:hanging="425"/>
        <w:jc w:val="both"/>
      </w:pPr>
      <w:r w:rsidRPr="00F701F1">
        <w:t>biznes plan, studium wykonalności;</w:t>
      </w:r>
    </w:p>
    <w:p w:rsidR="007071F1" w:rsidRDefault="007071F1" w:rsidP="00D61417">
      <w:pPr>
        <w:pStyle w:val="Nagwek3"/>
        <w:numPr>
          <w:ilvl w:val="0"/>
          <w:numId w:val="2"/>
        </w:numPr>
        <w:ind w:left="425" w:hanging="425"/>
        <w:jc w:val="both"/>
        <w:rPr>
          <w:rFonts w:asciiTheme="minorHAnsi" w:eastAsia="Times New Roman" w:hAnsiTheme="minorHAnsi" w:cs="Times New Roman"/>
          <w:color w:val="auto"/>
          <w:sz w:val="22"/>
          <w:szCs w:val="22"/>
        </w:rPr>
      </w:pPr>
      <w:r w:rsidRPr="00F701F1">
        <w:rPr>
          <w:rFonts w:asciiTheme="minorHAnsi" w:eastAsia="Times New Roman" w:hAnsiTheme="minorHAnsi" w:cs="Times New Roman"/>
          <w:color w:val="auto"/>
          <w:sz w:val="22"/>
          <w:szCs w:val="22"/>
        </w:rPr>
        <w:t xml:space="preserve">inna dokumentacja techniczna lub finansowa niezbędna do realizacji projektu </w:t>
      </w:r>
    </w:p>
    <w:p w:rsidR="00A71456" w:rsidRPr="00A71456" w:rsidRDefault="00A71456" w:rsidP="00A71456">
      <w:pPr>
        <w:spacing w:after="0"/>
        <w:rPr>
          <w:lang w:eastAsia="pl-PL"/>
        </w:rPr>
      </w:pPr>
    </w:p>
    <w:p w:rsidR="00027936" w:rsidRPr="00F53B42" w:rsidRDefault="00027936" w:rsidP="00027936">
      <w:pPr>
        <w:spacing w:after="0" w:line="240" w:lineRule="auto"/>
        <w:rPr>
          <w:b/>
          <w:lang w:eastAsia="pl-PL"/>
        </w:rPr>
      </w:pPr>
      <w:r w:rsidRPr="00F53B42">
        <w:rPr>
          <w:b/>
          <w:lang w:eastAsia="pl-PL"/>
        </w:rPr>
        <w:t xml:space="preserve">Wyżej wymienione koszty mogą zostać poniesione przed dniem </w:t>
      </w:r>
      <w:r w:rsidRPr="00F53B42">
        <w:rPr>
          <w:rFonts w:cs="Calibri"/>
          <w:b/>
        </w:rPr>
        <w:t>rozpoczęcie rzeczowej realizacji Projektu ( rozpoczęcia prac)</w:t>
      </w:r>
      <w:r w:rsidRPr="00F53B42">
        <w:rPr>
          <w:b/>
          <w:lang w:eastAsia="pl-PL"/>
        </w:rPr>
        <w:t xml:space="preserve">, jednakże nie wcześniej niż </w:t>
      </w:r>
      <w:r>
        <w:rPr>
          <w:b/>
          <w:lang w:eastAsia="pl-PL"/>
        </w:rPr>
        <w:t xml:space="preserve">przed </w:t>
      </w:r>
      <w:r w:rsidRPr="00F53B42">
        <w:rPr>
          <w:b/>
          <w:lang w:eastAsia="pl-PL"/>
        </w:rPr>
        <w:t>01.01.2014 r.</w:t>
      </w:r>
    </w:p>
    <w:p w:rsidR="00A71456" w:rsidRPr="00F04CB0" w:rsidRDefault="00A71456" w:rsidP="00A71456">
      <w:pPr>
        <w:spacing w:after="0" w:line="240" w:lineRule="auto"/>
        <w:rPr>
          <w:highlight w:val="yellow"/>
          <w:lang w:eastAsia="pl-PL"/>
        </w:rPr>
      </w:pPr>
    </w:p>
    <w:p w:rsidR="00E61A09" w:rsidRDefault="00E61A09" w:rsidP="00D61417">
      <w:pPr>
        <w:pStyle w:val="Akapitzlist"/>
        <w:numPr>
          <w:ilvl w:val="0"/>
          <w:numId w:val="21"/>
        </w:numPr>
        <w:spacing w:line="240" w:lineRule="auto"/>
        <w:ind w:left="426" w:hanging="426"/>
        <w:jc w:val="both"/>
        <w:rPr>
          <w:b/>
        </w:rPr>
      </w:pPr>
      <w:r>
        <w:rPr>
          <w:b/>
          <w:lang w:eastAsia="pl-PL"/>
        </w:rPr>
        <w:t xml:space="preserve">Koszt podatku VAT </w:t>
      </w:r>
    </w:p>
    <w:p w:rsidR="007071F1" w:rsidRDefault="00AF5E31" w:rsidP="00E61A09">
      <w:pPr>
        <w:spacing w:line="240" w:lineRule="auto"/>
        <w:jc w:val="both"/>
      </w:pPr>
      <w:r w:rsidRPr="00E61A09">
        <w:t>Podatek VAT w stosunku do wydatków, dla których beneficjent odlicza ten podatek częściowo wg proporcji ustalonej zgodnie z art. 90 ust. 2 ustawy o VAT, jest kwalifikowalny, o ile beneficjent ustanowi dla projektu przejrzysty systemy ewidencjonowania i rozliczania tego podatku i będzie w stanie udowodnić w sposób nie budzący wątpliwości, w jakiej części oraz w jakim zakresie VAT w projekcie może być kwalifikowalny</w:t>
      </w:r>
    </w:p>
    <w:p w:rsidR="006279A9" w:rsidRPr="00827088" w:rsidRDefault="006279A9" w:rsidP="00827088">
      <w:pPr>
        <w:pStyle w:val="Akapitzlist"/>
        <w:numPr>
          <w:ilvl w:val="0"/>
          <w:numId w:val="21"/>
        </w:numPr>
        <w:spacing w:line="240" w:lineRule="auto"/>
        <w:ind w:left="426" w:hanging="426"/>
        <w:jc w:val="both"/>
        <w:rPr>
          <w:b/>
        </w:rPr>
      </w:pPr>
      <w:r w:rsidRPr="00827088">
        <w:rPr>
          <w:b/>
        </w:rPr>
        <w:t>Cross – financing</w:t>
      </w:r>
    </w:p>
    <w:p w:rsidR="00827088" w:rsidRPr="00E61A09" w:rsidRDefault="00827088" w:rsidP="00827088">
      <w:pPr>
        <w:pStyle w:val="Akapitzlist"/>
        <w:spacing w:line="240" w:lineRule="auto"/>
        <w:ind w:left="0"/>
        <w:jc w:val="both"/>
      </w:pPr>
      <w:r>
        <w:t xml:space="preserve">Kosztem kwalifikowalnym są </w:t>
      </w:r>
      <w:r>
        <w:rPr>
          <w:rFonts w:ascii="Calibri" w:hAnsi="Calibri"/>
        </w:rPr>
        <w:t>d</w:t>
      </w:r>
      <w:r w:rsidRPr="00E9671D">
        <w:rPr>
          <w:rFonts w:ascii="Calibri" w:hAnsi="Calibri"/>
        </w:rPr>
        <w:t>ziałania związane</w:t>
      </w:r>
      <w:r>
        <w:rPr>
          <w:rFonts w:ascii="Calibri" w:hAnsi="Calibri"/>
        </w:rPr>
        <w:t xml:space="preserve"> z </w:t>
      </w:r>
      <w:r w:rsidRPr="00E9671D">
        <w:rPr>
          <w:rFonts w:ascii="Calibri" w:hAnsi="Calibri"/>
        </w:rPr>
        <w:t xml:space="preserve">rozwojem umiejętności </w:t>
      </w:r>
      <w:r>
        <w:rPr>
          <w:rFonts w:ascii="Calibri" w:hAnsi="Calibri"/>
        </w:rPr>
        <w:t xml:space="preserve">kadr przedsiębiorstwa– do 5 % </w:t>
      </w:r>
      <w:r w:rsidR="00520891">
        <w:rPr>
          <w:rFonts w:ascii="Calibri" w:hAnsi="Calibri"/>
        </w:rPr>
        <w:t>całkowitych kosztów</w:t>
      </w:r>
      <w:r>
        <w:rPr>
          <w:rFonts w:ascii="Calibri" w:hAnsi="Calibri"/>
        </w:rPr>
        <w:t xml:space="preserve"> kwalifikowalnych</w:t>
      </w:r>
      <w:r w:rsidR="00520891">
        <w:rPr>
          <w:rFonts w:ascii="Calibri" w:hAnsi="Calibri"/>
        </w:rPr>
        <w:t xml:space="preserve"> projektu</w:t>
      </w:r>
      <w:r>
        <w:rPr>
          <w:rFonts w:ascii="Calibri" w:hAnsi="Calibri"/>
        </w:rPr>
        <w:t>.</w:t>
      </w:r>
    </w:p>
    <w:p w:rsidR="00B47C34" w:rsidRPr="00B47C34" w:rsidRDefault="00B47C34" w:rsidP="00B47C34">
      <w:pPr>
        <w:pStyle w:val="Akapitzlist"/>
        <w:spacing w:line="240" w:lineRule="auto"/>
        <w:ind w:left="426"/>
        <w:rPr>
          <w:b/>
        </w:rPr>
      </w:pPr>
    </w:p>
    <w:p w:rsidR="00815531" w:rsidRPr="00D61417" w:rsidRDefault="00133D80" w:rsidP="00D61417">
      <w:pPr>
        <w:pStyle w:val="Akapitzlist"/>
        <w:numPr>
          <w:ilvl w:val="0"/>
          <w:numId w:val="21"/>
        </w:numPr>
        <w:spacing w:line="240" w:lineRule="auto"/>
        <w:ind w:left="426" w:hanging="426"/>
        <w:rPr>
          <w:b/>
        </w:rPr>
      </w:pPr>
      <w:r w:rsidRPr="00D61417">
        <w:rPr>
          <w:b/>
        </w:rPr>
        <w:t>W</w:t>
      </w:r>
      <w:r w:rsidR="00815531" w:rsidRPr="00D61417">
        <w:rPr>
          <w:b/>
        </w:rPr>
        <w:t>kład niepieniężny</w:t>
      </w:r>
    </w:p>
    <w:p w:rsidR="00CA0BAE" w:rsidRPr="00D61417" w:rsidRDefault="00CA0BAE" w:rsidP="00CA0BAE">
      <w:pPr>
        <w:spacing w:line="240" w:lineRule="auto"/>
        <w:ind w:left="66"/>
        <w:jc w:val="both"/>
      </w:pPr>
      <w:r w:rsidRPr="00D61417">
        <w:t xml:space="preserve">Wkład niepieniężny może stanowić wydatek kwalifikowalny tylko i wyłącznie w ramach wkładu własnego wniesionego na rzecz projektu. </w:t>
      </w:r>
    </w:p>
    <w:p w:rsidR="00CA0BAE" w:rsidRPr="00D61417" w:rsidRDefault="00CA0BAE" w:rsidP="00CA0BAE">
      <w:pPr>
        <w:spacing w:line="240" w:lineRule="auto"/>
        <w:ind w:left="66"/>
        <w:jc w:val="both"/>
      </w:pPr>
      <w:r w:rsidRPr="00D61417">
        <w:t xml:space="preserve">Wkład niepieniężny w ramach wkładu własnego przeznaczony na pokrycie wydatków kwalifikowalnych nie może przekroczyć </w:t>
      </w:r>
      <w:r w:rsidR="00B66CD4" w:rsidRPr="00694F9E">
        <w:rPr>
          <w:b/>
        </w:rPr>
        <w:t xml:space="preserve">10% wartości </w:t>
      </w:r>
      <w:r w:rsidR="00B66CD4">
        <w:rPr>
          <w:b/>
        </w:rPr>
        <w:t>wydatków kwalifikowalnych</w:t>
      </w:r>
      <w:r w:rsidRPr="00D61417">
        <w:t>.</w:t>
      </w:r>
    </w:p>
    <w:p w:rsidR="001D5981" w:rsidRPr="00D61417" w:rsidRDefault="001D5981" w:rsidP="00665F25">
      <w:pPr>
        <w:pStyle w:val="Akapitzlist"/>
        <w:numPr>
          <w:ilvl w:val="0"/>
          <w:numId w:val="15"/>
        </w:numPr>
        <w:autoSpaceDE w:val="0"/>
        <w:autoSpaceDN w:val="0"/>
        <w:adjustRightInd w:val="0"/>
        <w:spacing w:after="0" w:line="240" w:lineRule="auto"/>
        <w:ind w:left="284" w:hanging="284"/>
        <w:jc w:val="both"/>
        <w:rPr>
          <w:rFonts w:cs="Arial"/>
        </w:rPr>
      </w:pPr>
      <w:r w:rsidRPr="00D61417">
        <w:rPr>
          <w:rFonts w:cs="Arial"/>
        </w:rPr>
        <w:t>Wkład niepieniężny powinien być wnoszony przez beneficjenta ze składników jego</w:t>
      </w:r>
      <w:r w:rsidR="00891277">
        <w:rPr>
          <w:rFonts w:cs="Arial"/>
        </w:rPr>
        <w:t xml:space="preserve"> </w:t>
      </w:r>
      <w:r w:rsidRPr="00D61417">
        <w:rPr>
          <w:rFonts w:cs="Arial"/>
        </w:rPr>
        <w:t>majątku lub z majątku innych podmiotów, jeżeli możliwość taka wynika z przepisów</w:t>
      </w:r>
      <w:r w:rsidR="00891277">
        <w:rPr>
          <w:rFonts w:cs="Arial"/>
        </w:rPr>
        <w:t xml:space="preserve"> </w:t>
      </w:r>
      <w:r w:rsidRPr="00D61417">
        <w:rPr>
          <w:rFonts w:cs="Arial"/>
        </w:rPr>
        <w:t>prawa oraz zostanie to ujęte w zatwierdzonym wniosku o dofinansowanie, lub w postaci</w:t>
      </w:r>
      <w:r w:rsidR="00891277">
        <w:rPr>
          <w:rFonts w:cs="Arial"/>
        </w:rPr>
        <w:t xml:space="preserve"> </w:t>
      </w:r>
      <w:r w:rsidRPr="00D61417">
        <w:rPr>
          <w:rFonts w:cs="Arial"/>
        </w:rPr>
        <w:t>świadczeń wykonywanych przez wolontariuszy.</w:t>
      </w:r>
    </w:p>
    <w:p w:rsidR="001D5981" w:rsidRPr="00D61417" w:rsidRDefault="001D5981" w:rsidP="00665F25">
      <w:pPr>
        <w:pStyle w:val="Akapitzlist"/>
        <w:numPr>
          <w:ilvl w:val="0"/>
          <w:numId w:val="15"/>
        </w:numPr>
        <w:autoSpaceDE w:val="0"/>
        <w:autoSpaceDN w:val="0"/>
        <w:adjustRightInd w:val="0"/>
        <w:spacing w:after="0" w:line="240" w:lineRule="auto"/>
        <w:ind w:left="284" w:hanging="284"/>
        <w:jc w:val="both"/>
        <w:rPr>
          <w:rFonts w:cs="Arial"/>
        </w:rPr>
      </w:pPr>
      <w:r w:rsidRPr="00D61417">
        <w:rPr>
          <w:rFonts w:cs="Arial"/>
        </w:rPr>
        <w:t>Warunki kwalifikowalności wkładu niepieniężnego są następujące:</w:t>
      </w:r>
    </w:p>
    <w:p w:rsidR="001D5981" w:rsidRPr="00D61417" w:rsidRDefault="001D5981" w:rsidP="00665F25">
      <w:pPr>
        <w:pStyle w:val="Akapitzlist"/>
        <w:numPr>
          <w:ilvl w:val="0"/>
          <w:numId w:val="14"/>
        </w:numPr>
        <w:autoSpaceDE w:val="0"/>
        <w:autoSpaceDN w:val="0"/>
        <w:adjustRightInd w:val="0"/>
        <w:spacing w:after="0" w:line="240" w:lineRule="auto"/>
        <w:ind w:left="567" w:hanging="283"/>
        <w:jc w:val="both"/>
        <w:rPr>
          <w:rFonts w:cs="Arial"/>
        </w:rPr>
      </w:pPr>
      <w:r w:rsidRPr="00D61417">
        <w:rPr>
          <w:rFonts w:cs="Arial"/>
        </w:rPr>
        <w:t>wkład niepieniężny polega na wniesieniu (wykorzystaniu na rzecz projektu)nieruchomości, urządzeń, materiałów (surowców), wartości niematerialnych</w:t>
      </w:r>
      <w:r w:rsidR="00891277">
        <w:rPr>
          <w:rFonts w:cs="Arial"/>
        </w:rPr>
        <w:t xml:space="preserve"> </w:t>
      </w:r>
      <w:r w:rsidRPr="00D61417">
        <w:rPr>
          <w:rFonts w:cs="Arial"/>
        </w:rPr>
        <w:t>i prawnych, ekspertyz lub nieodpłatnej pracy wykonywanej przez wolontariuszy</w:t>
      </w:r>
      <w:r w:rsidR="00891277">
        <w:rPr>
          <w:rFonts w:cs="Arial"/>
        </w:rPr>
        <w:t xml:space="preserve"> </w:t>
      </w:r>
      <w:r w:rsidRPr="00D61417">
        <w:rPr>
          <w:rFonts w:cs="Arial"/>
        </w:rPr>
        <w:t>na podstawie ustawy z dnia 24 kwietnia 2003 r. o działalności pożytku publicznego</w:t>
      </w:r>
      <w:r w:rsidR="00891277">
        <w:rPr>
          <w:rFonts w:cs="Arial"/>
        </w:rPr>
        <w:t xml:space="preserve"> </w:t>
      </w:r>
      <w:r w:rsidRPr="00D61417">
        <w:rPr>
          <w:rFonts w:cs="Arial"/>
        </w:rPr>
        <w:t>i o wolontariacie,</w:t>
      </w:r>
    </w:p>
    <w:p w:rsidR="001D5981" w:rsidRPr="00D61417" w:rsidRDefault="001D5981" w:rsidP="00665F25">
      <w:pPr>
        <w:pStyle w:val="Akapitzlist"/>
        <w:numPr>
          <w:ilvl w:val="0"/>
          <w:numId w:val="14"/>
        </w:numPr>
        <w:autoSpaceDE w:val="0"/>
        <w:autoSpaceDN w:val="0"/>
        <w:adjustRightInd w:val="0"/>
        <w:spacing w:after="0" w:line="240" w:lineRule="auto"/>
        <w:ind w:left="567" w:hanging="283"/>
        <w:jc w:val="both"/>
        <w:rPr>
          <w:rFonts w:cs="Arial"/>
        </w:rPr>
      </w:pPr>
      <w:r w:rsidRPr="00D61417">
        <w:rPr>
          <w:rFonts w:cs="Arial"/>
        </w:rPr>
        <w:t>wartość wkładu niepieniężnego została należycie potwierdzona dokumentami</w:t>
      </w:r>
      <w:r w:rsidR="00891277">
        <w:rPr>
          <w:rFonts w:cs="Arial"/>
        </w:rPr>
        <w:t xml:space="preserve"> </w:t>
      </w:r>
      <w:r w:rsidRPr="00D61417">
        <w:rPr>
          <w:rFonts w:cs="Arial"/>
        </w:rPr>
        <w:t>o wartości dowodowej równoważnej fakturom,</w:t>
      </w:r>
    </w:p>
    <w:p w:rsidR="001D5981" w:rsidRPr="00D61417" w:rsidRDefault="001D5981" w:rsidP="00665F25">
      <w:pPr>
        <w:pStyle w:val="Akapitzlist"/>
        <w:numPr>
          <w:ilvl w:val="0"/>
          <w:numId w:val="14"/>
        </w:numPr>
        <w:autoSpaceDE w:val="0"/>
        <w:autoSpaceDN w:val="0"/>
        <w:adjustRightInd w:val="0"/>
        <w:spacing w:after="0" w:line="240" w:lineRule="auto"/>
        <w:ind w:left="567" w:hanging="283"/>
        <w:jc w:val="both"/>
        <w:rPr>
          <w:rFonts w:cs="Arial"/>
        </w:rPr>
      </w:pPr>
      <w:r w:rsidRPr="00D61417">
        <w:rPr>
          <w:rFonts w:cs="Arial"/>
        </w:rPr>
        <w:lastRenderedPageBreak/>
        <w:t>wartość przypisana wkładowi niepieniężnemu nie przekracza stawek rynkowych,</w:t>
      </w:r>
    </w:p>
    <w:p w:rsidR="001D5981" w:rsidRPr="00D61417" w:rsidRDefault="001D5981" w:rsidP="00665F25">
      <w:pPr>
        <w:pStyle w:val="Akapitzlist"/>
        <w:numPr>
          <w:ilvl w:val="0"/>
          <w:numId w:val="14"/>
        </w:numPr>
        <w:autoSpaceDE w:val="0"/>
        <w:autoSpaceDN w:val="0"/>
        <w:adjustRightInd w:val="0"/>
        <w:spacing w:after="0" w:line="240" w:lineRule="auto"/>
        <w:ind w:left="567" w:hanging="283"/>
        <w:jc w:val="both"/>
        <w:rPr>
          <w:rFonts w:cs="Arial"/>
        </w:rPr>
      </w:pPr>
      <w:r w:rsidRPr="00D61417">
        <w:rPr>
          <w:rFonts w:cs="Arial"/>
        </w:rPr>
        <w:t>wartość i dostarczenie wkładu niepieniężnego mogą być poddane nie</w:t>
      </w:r>
      <w:r w:rsidR="00891277">
        <w:rPr>
          <w:rFonts w:cs="Arial"/>
        </w:rPr>
        <w:t xml:space="preserve"> </w:t>
      </w:r>
      <w:r w:rsidRPr="00D61417">
        <w:rPr>
          <w:rFonts w:cs="Arial"/>
        </w:rPr>
        <w:t>zależnej</w:t>
      </w:r>
      <w:r w:rsidR="00891277">
        <w:rPr>
          <w:rFonts w:cs="Arial"/>
        </w:rPr>
        <w:t xml:space="preserve"> </w:t>
      </w:r>
      <w:r w:rsidRPr="00D61417">
        <w:rPr>
          <w:rFonts w:cs="Arial"/>
        </w:rPr>
        <w:t>ocenie i weryfikacji,</w:t>
      </w:r>
    </w:p>
    <w:p w:rsidR="001D5981" w:rsidRPr="00D61417" w:rsidRDefault="001D5981" w:rsidP="00665F25">
      <w:pPr>
        <w:pStyle w:val="Akapitzlist"/>
        <w:numPr>
          <w:ilvl w:val="0"/>
          <w:numId w:val="14"/>
        </w:numPr>
        <w:autoSpaceDE w:val="0"/>
        <w:autoSpaceDN w:val="0"/>
        <w:adjustRightInd w:val="0"/>
        <w:spacing w:after="0" w:line="240" w:lineRule="auto"/>
        <w:ind w:left="567" w:hanging="283"/>
        <w:jc w:val="both"/>
        <w:rPr>
          <w:rFonts w:cs="Arial"/>
        </w:rPr>
      </w:pPr>
      <w:r w:rsidRPr="00D61417">
        <w:rPr>
          <w:rFonts w:cs="Arial"/>
        </w:rPr>
        <w:t>w przypadku wykorzystania nieruchomości na rzecz projektu jej wartość nie</w:t>
      </w:r>
      <w:r w:rsidR="00891277">
        <w:rPr>
          <w:rFonts w:cs="Arial"/>
        </w:rPr>
        <w:t xml:space="preserve"> </w:t>
      </w:r>
      <w:r w:rsidRPr="00D61417">
        <w:rPr>
          <w:rFonts w:cs="Arial"/>
        </w:rPr>
        <w:t>przekracza wartości rynkowej</w:t>
      </w:r>
      <w:r w:rsidRPr="00D61417">
        <w:rPr>
          <w:rStyle w:val="Odwoanieprzypisudolnego"/>
          <w:rFonts w:cs="Arial"/>
        </w:rPr>
        <w:footnoteReference w:id="6"/>
      </w:r>
      <w:r w:rsidRPr="00D61417">
        <w:rPr>
          <w:rFonts w:cs="Arial"/>
        </w:rPr>
        <w:t>; ponadto wartość nieruchomości jest potwierdzona</w:t>
      </w:r>
      <w:r w:rsidR="00891277">
        <w:rPr>
          <w:rFonts w:cs="Arial"/>
        </w:rPr>
        <w:t xml:space="preserve"> </w:t>
      </w:r>
      <w:r w:rsidRPr="00D61417">
        <w:rPr>
          <w:rFonts w:cs="Arial"/>
        </w:rPr>
        <w:t>operatem szacunkowym sporządzonym przez uprawnionego rzeczoznawcę</w:t>
      </w:r>
      <w:r w:rsidR="00891277">
        <w:rPr>
          <w:rFonts w:cs="Arial"/>
        </w:rPr>
        <w:t xml:space="preserve"> </w:t>
      </w:r>
      <w:r w:rsidRPr="00D61417">
        <w:rPr>
          <w:rFonts w:cs="Arial"/>
        </w:rPr>
        <w:t>zgodnie z przepisami ustawy z dnia 21 sierpnia 1997 r. o gospodarce</w:t>
      </w:r>
      <w:r w:rsidR="00891277">
        <w:rPr>
          <w:rFonts w:cs="Arial"/>
        </w:rPr>
        <w:t xml:space="preserve"> </w:t>
      </w:r>
      <w:r w:rsidRPr="00D61417">
        <w:rPr>
          <w:rFonts w:cs="Arial"/>
        </w:rPr>
        <w:t xml:space="preserve">nieruchomościami (Dz. U. z 2014 r. poz. 518, z późn. zm.) – aktualnym </w:t>
      </w:r>
      <w:r w:rsidRPr="00D61417">
        <w:rPr>
          <w:rStyle w:val="Odwoanieprzypisudolnego"/>
          <w:rFonts w:cs="Arial"/>
        </w:rPr>
        <w:footnoteReference w:id="7"/>
      </w:r>
      <w:r w:rsidRPr="00D61417">
        <w:rPr>
          <w:rFonts w:cs="Arial"/>
        </w:rPr>
        <w:t>w momencie złożenia rozliczającego go wniosku o płatność,</w:t>
      </w:r>
    </w:p>
    <w:p w:rsidR="001D5981" w:rsidRPr="00D61417" w:rsidRDefault="001D5981" w:rsidP="00665F25">
      <w:pPr>
        <w:pStyle w:val="Akapitzlist"/>
        <w:numPr>
          <w:ilvl w:val="0"/>
          <w:numId w:val="14"/>
        </w:numPr>
        <w:spacing w:line="240" w:lineRule="auto"/>
        <w:ind w:left="567" w:hanging="283"/>
        <w:jc w:val="both"/>
        <w:rPr>
          <w:rFonts w:cs="Arial"/>
        </w:rPr>
      </w:pPr>
      <w:r w:rsidRPr="00D61417">
        <w:rPr>
          <w:rFonts w:cs="Arial"/>
        </w:rPr>
        <w:t>w przypadku wniesienia nieodpłatnej pracy spełnione są warunki, o których mowa w pkt 6.</w:t>
      </w:r>
    </w:p>
    <w:p w:rsidR="001D5981" w:rsidRPr="00D61417" w:rsidRDefault="001D5981" w:rsidP="00665F25">
      <w:pPr>
        <w:pStyle w:val="Akapitzlist"/>
        <w:numPr>
          <w:ilvl w:val="0"/>
          <w:numId w:val="15"/>
        </w:numPr>
        <w:autoSpaceDE w:val="0"/>
        <w:autoSpaceDN w:val="0"/>
        <w:adjustRightInd w:val="0"/>
        <w:spacing w:after="0" w:line="240" w:lineRule="auto"/>
        <w:ind w:left="284" w:hanging="284"/>
        <w:jc w:val="both"/>
        <w:rPr>
          <w:rFonts w:cs="Arial"/>
        </w:rPr>
      </w:pPr>
      <w:r w:rsidRPr="00D61417">
        <w:rPr>
          <w:rFonts w:cs="Arial"/>
        </w:rPr>
        <w:t>Wydatki poniesione na wycenę wkładu niepieniężnego są kwalifikowalne.</w:t>
      </w:r>
    </w:p>
    <w:p w:rsidR="001D5981" w:rsidRPr="00D61417" w:rsidRDefault="001D5981" w:rsidP="00665F25">
      <w:pPr>
        <w:pStyle w:val="Akapitzlist"/>
        <w:numPr>
          <w:ilvl w:val="0"/>
          <w:numId w:val="15"/>
        </w:numPr>
        <w:autoSpaceDE w:val="0"/>
        <w:autoSpaceDN w:val="0"/>
        <w:adjustRightInd w:val="0"/>
        <w:spacing w:after="0" w:line="240" w:lineRule="auto"/>
        <w:ind w:left="284" w:hanging="284"/>
        <w:jc w:val="both"/>
        <w:rPr>
          <w:rFonts w:cs="Arial"/>
        </w:rPr>
      </w:pPr>
      <w:r w:rsidRPr="00D61417">
        <w:rPr>
          <w:rFonts w:cs="Arial"/>
        </w:rPr>
        <w:t>W przypadku wniesienia wkładu niepieniężnego w postaci nieruchomości, zastosowanie ma</w:t>
      </w:r>
      <w:r w:rsidR="00305941" w:rsidRPr="00D61417">
        <w:rPr>
          <w:rFonts w:cs="Arial"/>
        </w:rPr>
        <w:t xml:space="preserve">ją zapisy </w:t>
      </w:r>
      <w:r w:rsidR="00263BA0" w:rsidRPr="00D61417">
        <w:rPr>
          <w:rFonts w:cs="Arial"/>
        </w:rPr>
        <w:t>Podrozdziału 7.4 „Wytycznych</w:t>
      </w:r>
      <w:r w:rsidR="00D61417">
        <w:rPr>
          <w:rStyle w:val="Odwoanieprzypisudolnego"/>
          <w:rFonts w:cs="Arial"/>
        </w:rPr>
        <w:footnoteReference w:id="8"/>
      </w:r>
      <w:r w:rsidR="00263BA0" w:rsidRPr="00D61417">
        <w:rPr>
          <w:rFonts w:cs="Arial"/>
        </w:rPr>
        <w:t xml:space="preserve"> ” </w:t>
      </w:r>
      <w:r w:rsidR="00305941" w:rsidRPr="00D61417">
        <w:rPr>
          <w:rFonts w:cs="Arial"/>
        </w:rPr>
        <w:t>odnoszące się do zakupu nieruchomości</w:t>
      </w:r>
      <w:r w:rsidR="004E6179" w:rsidRPr="00D61417">
        <w:rPr>
          <w:rFonts w:cs="Arial"/>
        </w:rPr>
        <w:t xml:space="preserve"> w zakresie między innymi:</w:t>
      </w:r>
    </w:p>
    <w:p w:rsidR="004E6179" w:rsidRPr="00D61417" w:rsidRDefault="004E6179" w:rsidP="00A71456">
      <w:pPr>
        <w:pStyle w:val="Akapitzlist"/>
        <w:numPr>
          <w:ilvl w:val="0"/>
          <w:numId w:val="36"/>
        </w:numPr>
        <w:autoSpaceDE w:val="0"/>
        <w:autoSpaceDN w:val="0"/>
        <w:adjustRightInd w:val="0"/>
        <w:spacing w:after="0" w:line="240" w:lineRule="auto"/>
        <w:ind w:left="567" w:hanging="283"/>
        <w:jc w:val="both"/>
        <w:rPr>
          <w:rFonts w:cs="Arial"/>
        </w:rPr>
      </w:pPr>
      <w:r w:rsidRPr="00D61417">
        <w:rPr>
          <w:rFonts w:cs="Arial"/>
        </w:rPr>
        <w:t>limitów kwalifikowania wydatku;</w:t>
      </w:r>
    </w:p>
    <w:p w:rsidR="004E6179" w:rsidRDefault="004E6179" w:rsidP="00A71456">
      <w:pPr>
        <w:pStyle w:val="Akapitzlist"/>
        <w:numPr>
          <w:ilvl w:val="0"/>
          <w:numId w:val="36"/>
        </w:numPr>
        <w:autoSpaceDE w:val="0"/>
        <w:autoSpaceDN w:val="0"/>
        <w:adjustRightInd w:val="0"/>
        <w:spacing w:after="0" w:line="240" w:lineRule="auto"/>
        <w:ind w:left="567" w:hanging="283"/>
        <w:jc w:val="both"/>
        <w:rPr>
          <w:rFonts w:cs="Arial"/>
        </w:rPr>
      </w:pPr>
      <w:r w:rsidRPr="00D61417">
        <w:rPr>
          <w:rFonts w:cs="Arial"/>
        </w:rPr>
        <w:t>określania wartości rynkowej nieruchomości;</w:t>
      </w:r>
    </w:p>
    <w:p w:rsidR="008234A6" w:rsidRPr="00D61417" w:rsidRDefault="008234A6" w:rsidP="008234A6">
      <w:pPr>
        <w:pStyle w:val="Akapitzlist"/>
        <w:autoSpaceDE w:val="0"/>
        <w:autoSpaceDN w:val="0"/>
        <w:adjustRightInd w:val="0"/>
        <w:spacing w:after="0" w:line="240" w:lineRule="auto"/>
        <w:ind w:left="567"/>
        <w:jc w:val="both"/>
        <w:rPr>
          <w:rFonts w:cs="Arial"/>
        </w:rPr>
      </w:pPr>
    </w:p>
    <w:p w:rsidR="001D5981" w:rsidRPr="00665F25" w:rsidRDefault="001D5981" w:rsidP="00665F25">
      <w:pPr>
        <w:pStyle w:val="Akapitzlist"/>
        <w:numPr>
          <w:ilvl w:val="0"/>
          <w:numId w:val="15"/>
        </w:numPr>
        <w:autoSpaceDE w:val="0"/>
        <w:autoSpaceDN w:val="0"/>
        <w:adjustRightInd w:val="0"/>
        <w:spacing w:after="0" w:line="240" w:lineRule="auto"/>
        <w:ind w:left="284" w:hanging="284"/>
        <w:jc w:val="both"/>
        <w:rPr>
          <w:rFonts w:cs="Arial"/>
        </w:rPr>
      </w:pPr>
      <w:r w:rsidRPr="00665F25">
        <w:rPr>
          <w:rFonts w:cs="Arial"/>
        </w:rPr>
        <w:t>W przypadku nieodpłatnej pracy wykonywanej przez wolontariuszy, powinny zostać</w:t>
      </w:r>
      <w:r w:rsidR="00891277">
        <w:rPr>
          <w:rFonts w:cs="Arial"/>
        </w:rPr>
        <w:t xml:space="preserve"> </w:t>
      </w:r>
      <w:r w:rsidRPr="00665F25">
        <w:rPr>
          <w:rFonts w:cs="Arial"/>
        </w:rPr>
        <w:t>spełnione łącznie następujące warunki</w:t>
      </w:r>
      <w:r w:rsidR="008234A6">
        <w:rPr>
          <w:rStyle w:val="Odwoanieprzypisudolnego"/>
          <w:rFonts w:cs="Arial"/>
        </w:rPr>
        <w:footnoteReference w:id="9"/>
      </w:r>
      <w:r w:rsidRPr="00665F25">
        <w:rPr>
          <w:rFonts w:cs="Arial"/>
        </w:rPr>
        <w:t>:</w:t>
      </w:r>
    </w:p>
    <w:p w:rsidR="001D5981" w:rsidRPr="00665F25" w:rsidRDefault="001D5981" w:rsidP="00665F25">
      <w:pPr>
        <w:pStyle w:val="Akapitzlist"/>
        <w:numPr>
          <w:ilvl w:val="0"/>
          <w:numId w:val="17"/>
        </w:numPr>
        <w:autoSpaceDE w:val="0"/>
        <w:autoSpaceDN w:val="0"/>
        <w:adjustRightInd w:val="0"/>
        <w:spacing w:after="0" w:line="240" w:lineRule="auto"/>
        <w:ind w:left="567" w:hanging="283"/>
        <w:jc w:val="both"/>
        <w:rPr>
          <w:rFonts w:cs="Arial"/>
        </w:rPr>
      </w:pPr>
      <w:r w:rsidRPr="00665F25">
        <w:rPr>
          <w:rFonts w:cs="Arial"/>
        </w:rPr>
        <w:t>wolontariusz musi być świadomy charakteru swojego udziału w realizacji projektu(tzn. świadomy nieodpłatnego udziału),</w:t>
      </w:r>
    </w:p>
    <w:p w:rsidR="001D5981" w:rsidRPr="00665F25" w:rsidRDefault="001D5981" w:rsidP="00665F25">
      <w:pPr>
        <w:pStyle w:val="Akapitzlist"/>
        <w:numPr>
          <w:ilvl w:val="0"/>
          <w:numId w:val="17"/>
        </w:numPr>
        <w:autoSpaceDE w:val="0"/>
        <w:autoSpaceDN w:val="0"/>
        <w:adjustRightInd w:val="0"/>
        <w:spacing w:after="0" w:line="240" w:lineRule="auto"/>
        <w:ind w:left="567" w:hanging="283"/>
        <w:jc w:val="both"/>
        <w:rPr>
          <w:rFonts w:cs="Arial"/>
        </w:rPr>
      </w:pPr>
      <w:r w:rsidRPr="00665F25">
        <w:rPr>
          <w:rFonts w:cs="Arial"/>
        </w:rPr>
        <w:t>należy zdefiniować rodzaj wykonywanej przez wolontariusza nieodpłatnej pracy(określić jego stanowisko w projekcie); zadania wykonywane i wykazywane przez</w:t>
      </w:r>
      <w:r w:rsidR="00891277">
        <w:rPr>
          <w:rFonts w:cs="Arial"/>
        </w:rPr>
        <w:t xml:space="preserve"> </w:t>
      </w:r>
      <w:r w:rsidRPr="00665F25">
        <w:rPr>
          <w:rFonts w:cs="Arial"/>
        </w:rPr>
        <w:t>wolontariusza muszą być zgodne z tytułem jego nieodpłatnej pracy (stanowiska),</w:t>
      </w:r>
    </w:p>
    <w:p w:rsidR="001D5981" w:rsidRPr="00665F25" w:rsidRDefault="001D5981" w:rsidP="00665F25">
      <w:pPr>
        <w:pStyle w:val="Akapitzlist"/>
        <w:numPr>
          <w:ilvl w:val="0"/>
          <w:numId w:val="17"/>
        </w:numPr>
        <w:autoSpaceDE w:val="0"/>
        <w:autoSpaceDN w:val="0"/>
        <w:adjustRightInd w:val="0"/>
        <w:spacing w:after="0" w:line="240" w:lineRule="auto"/>
        <w:ind w:left="567" w:hanging="283"/>
        <w:jc w:val="both"/>
        <w:rPr>
          <w:rFonts w:cs="Arial"/>
        </w:rPr>
      </w:pPr>
      <w:r w:rsidRPr="00665F25">
        <w:rPr>
          <w:rFonts w:cs="Arial"/>
        </w:rPr>
        <w:t>w ramach wolontariatu nie może być wykonywana nieodpłatna praca dotycząca</w:t>
      </w:r>
      <w:r w:rsidR="00891277">
        <w:rPr>
          <w:rFonts w:cs="Arial"/>
        </w:rPr>
        <w:t xml:space="preserve"> </w:t>
      </w:r>
      <w:r w:rsidRPr="00665F25">
        <w:rPr>
          <w:rFonts w:cs="Arial"/>
        </w:rPr>
        <w:t>zadań, które są realizowane przez personel projektu dofinansowany w ramach</w:t>
      </w:r>
      <w:r w:rsidR="00891277">
        <w:rPr>
          <w:rFonts w:cs="Arial"/>
        </w:rPr>
        <w:t xml:space="preserve"> </w:t>
      </w:r>
      <w:r w:rsidRPr="00665F25">
        <w:rPr>
          <w:rFonts w:cs="Arial"/>
        </w:rPr>
        <w:t>projektu,</w:t>
      </w:r>
    </w:p>
    <w:p w:rsidR="001D5981" w:rsidRPr="00665F25" w:rsidRDefault="001D5981" w:rsidP="00665F25">
      <w:pPr>
        <w:pStyle w:val="Akapitzlist"/>
        <w:numPr>
          <w:ilvl w:val="0"/>
          <w:numId w:val="17"/>
        </w:numPr>
        <w:autoSpaceDE w:val="0"/>
        <w:autoSpaceDN w:val="0"/>
        <w:adjustRightInd w:val="0"/>
        <w:spacing w:after="0" w:line="240" w:lineRule="auto"/>
        <w:ind w:left="567" w:hanging="283"/>
        <w:jc w:val="both"/>
        <w:rPr>
          <w:rFonts w:cs="Arial"/>
        </w:rPr>
      </w:pPr>
      <w:r w:rsidRPr="00665F25">
        <w:rPr>
          <w:rFonts w:cs="Arial"/>
        </w:rPr>
        <w:t>wartość wkładu niepieniężnego w przypadku nieodpłatnej pracy wykonywanej przez</w:t>
      </w:r>
      <w:r w:rsidR="00891277">
        <w:rPr>
          <w:rFonts w:cs="Arial"/>
        </w:rPr>
        <w:t xml:space="preserve"> </w:t>
      </w:r>
      <w:r w:rsidRPr="00665F25">
        <w:rPr>
          <w:rFonts w:cs="Arial"/>
        </w:rPr>
        <w:t>wolontariusza określa się z uwzględnieniem ilości czasu poświęconego na jej</w:t>
      </w:r>
      <w:r w:rsidR="00891277">
        <w:rPr>
          <w:rFonts w:cs="Arial"/>
        </w:rPr>
        <w:t xml:space="preserve"> </w:t>
      </w:r>
      <w:r w:rsidRPr="00665F25">
        <w:rPr>
          <w:rFonts w:cs="Arial"/>
        </w:rPr>
        <w:t>wykonanie oraz średniej wysokości wynagrodzenia (wg stawki godzinowej</w:t>
      </w:r>
      <w:r w:rsidR="00891277">
        <w:rPr>
          <w:rFonts w:cs="Arial"/>
        </w:rPr>
        <w:t xml:space="preserve"> </w:t>
      </w:r>
      <w:r w:rsidRPr="00665F25">
        <w:rPr>
          <w:rFonts w:cs="Arial"/>
        </w:rPr>
        <w:t>lub dziennej) za dany rodzaj pracy obowiązującej u danego pracodawcy lub w danym</w:t>
      </w:r>
      <w:r w:rsidR="00891277">
        <w:rPr>
          <w:rFonts w:cs="Arial"/>
        </w:rPr>
        <w:t xml:space="preserve"> </w:t>
      </w:r>
      <w:r w:rsidRPr="00665F25">
        <w:rPr>
          <w:rFonts w:cs="Arial"/>
        </w:rPr>
        <w:t>regionie (wyliczonej np. w oparciu o dane GUS), lub płacy minimalnej określonej</w:t>
      </w:r>
      <w:r w:rsidR="00891277">
        <w:rPr>
          <w:rFonts w:cs="Arial"/>
        </w:rPr>
        <w:t xml:space="preserve"> </w:t>
      </w:r>
      <w:r w:rsidRPr="00665F25">
        <w:rPr>
          <w:rFonts w:cs="Arial"/>
        </w:rPr>
        <w:t>na podstawie obowiązujących przepisów, w zależności od zapisów wniosku</w:t>
      </w:r>
      <w:r w:rsidR="00891277">
        <w:rPr>
          <w:rFonts w:cs="Arial"/>
        </w:rPr>
        <w:t xml:space="preserve"> </w:t>
      </w:r>
      <w:r w:rsidRPr="00665F25">
        <w:rPr>
          <w:rFonts w:cs="Arial"/>
        </w:rPr>
        <w:t>o dofinansowanie projektu,</w:t>
      </w:r>
    </w:p>
    <w:p w:rsidR="001D5981" w:rsidRPr="00665F25" w:rsidRDefault="001D5981" w:rsidP="00665F25">
      <w:pPr>
        <w:pStyle w:val="Akapitzlist"/>
        <w:numPr>
          <w:ilvl w:val="0"/>
          <w:numId w:val="17"/>
        </w:numPr>
        <w:autoSpaceDE w:val="0"/>
        <w:autoSpaceDN w:val="0"/>
        <w:adjustRightInd w:val="0"/>
        <w:spacing w:after="0" w:line="240" w:lineRule="auto"/>
        <w:ind w:left="567" w:hanging="283"/>
        <w:jc w:val="both"/>
        <w:rPr>
          <w:rFonts w:cs="Arial"/>
        </w:rPr>
      </w:pPr>
      <w:r w:rsidRPr="00665F25">
        <w:rPr>
          <w:rFonts w:cs="Arial"/>
        </w:rPr>
        <w:t>wycena nieodpłatnej dobrowolnej pracy może uwzględniać wszystkie koszty, które</w:t>
      </w:r>
      <w:r w:rsidR="00891277">
        <w:rPr>
          <w:rFonts w:cs="Arial"/>
        </w:rPr>
        <w:t xml:space="preserve"> </w:t>
      </w:r>
      <w:r w:rsidRPr="00665F25">
        <w:rPr>
          <w:rFonts w:cs="Arial"/>
        </w:rPr>
        <w:t>zostałyby poniesione w przypadku jej odpłatnego wykonywania przez podmiot</w:t>
      </w:r>
      <w:r w:rsidR="00891277">
        <w:rPr>
          <w:rFonts w:cs="Arial"/>
        </w:rPr>
        <w:t xml:space="preserve"> </w:t>
      </w:r>
      <w:r w:rsidRPr="00665F25">
        <w:rPr>
          <w:rFonts w:cs="Arial"/>
        </w:rPr>
        <w:t>działający na zasadach rynkowych; wycena uwzględnia zatem koszt składek</w:t>
      </w:r>
      <w:r w:rsidR="00891277">
        <w:rPr>
          <w:rFonts w:cs="Arial"/>
        </w:rPr>
        <w:t xml:space="preserve"> </w:t>
      </w:r>
      <w:r w:rsidRPr="00665F25">
        <w:rPr>
          <w:rFonts w:cs="Arial"/>
        </w:rPr>
        <w:t>na ubezpieczenia społeczne oraz wszystkie pozostałe koszty wynikające z charakter</w:t>
      </w:r>
      <w:r w:rsidR="00891277">
        <w:rPr>
          <w:rFonts w:cs="Arial"/>
        </w:rPr>
        <w:t xml:space="preserve"> </w:t>
      </w:r>
      <w:r w:rsidRPr="00665F25">
        <w:rPr>
          <w:rFonts w:cs="Arial"/>
        </w:rPr>
        <w:t>udanego świadczenia; wycena wykonywanego świ</w:t>
      </w:r>
      <w:r w:rsidR="003953C5" w:rsidRPr="00665F25">
        <w:rPr>
          <w:rFonts w:cs="Arial"/>
        </w:rPr>
        <w:t>adczenia przez wolontariusza moż</w:t>
      </w:r>
      <w:r w:rsidRPr="00665F25">
        <w:rPr>
          <w:rFonts w:cs="Arial"/>
        </w:rPr>
        <w:t>e</w:t>
      </w:r>
      <w:r w:rsidR="00891277">
        <w:rPr>
          <w:rFonts w:cs="Arial"/>
        </w:rPr>
        <w:t xml:space="preserve"> </w:t>
      </w:r>
      <w:r w:rsidRPr="00665F25">
        <w:rPr>
          <w:rFonts w:cs="Arial"/>
        </w:rPr>
        <w:t>być przedmiotem odrębnej kontroli i oceny.</w:t>
      </w:r>
    </w:p>
    <w:p w:rsidR="001D5981" w:rsidRPr="00665F25" w:rsidRDefault="001D5981" w:rsidP="00665F25">
      <w:pPr>
        <w:pStyle w:val="Akapitzlist"/>
        <w:numPr>
          <w:ilvl w:val="0"/>
          <w:numId w:val="15"/>
        </w:numPr>
        <w:autoSpaceDE w:val="0"/>
        <w:autoSpaceDN w:val="0"/>
        <w:adjustRightInd w:val="0"/>
        <w:spacing w:after="0" w:line="240" w:lineRule="auto"/>
        <w:ind w:left="284" w:hanging="284"/>
        <w:jc w:val="both"/>
        <w:rPr>
          <w:rFonts w:cs="Arial"/>
        </w:rPr>
      </w:pPr>
      <w:r w:rsidRPr="00665F25">
        <w:rPr>
          <w:rFonts w:cs="Arial"/>
        </w:rPr>
        <w:t>W przypa</w:t>
      </w:r>
      <w:r w:rsidR="003953C5" w:rsidRPr="00665F25">
        <w:rPr>
          <w:rFonts w:cs="Arial"/>
        </w:rPr>
        <w:t>dku wniesienia wkładu niepienięż</w:t>
      </w:r>
      <w:r w:rsidRPr="00665F25">
        <w:rPr>
          <w:rFonts w:cs="Arial"/>
        </w:rPr>
        <w:t>nego do projektu, współfinansowanie</w:t>
      </w:r>
      <w:r w:rsidR="00891277">
        <w:rPr>
          <w:rFonts w:cs="Arial"/>
        </w:rPr>
        <w:t xml:space="preserve"> </w:t>
      </w:r>
      <w:r w:rsidRPr="00665F25">
        <w:rPr>
          <w:rFonts w:cs="Arial"/>
        </w:rPr>
        <w:t>z funduszy strukturalnych lub FS oraz innych środków publicznych (krajowych) niebędących wkład</w:t>
      </w:r>
      <w:r w:rsidR="003953C5" w:rsidRPr="00665F25">
        <w:rPr>
          <w:rFonts w:cs="Arial"/>
        </w:rPr>
        <w:t>em własnym beneficjenta, nie moż</w:t>
      </w:r>
      <w:r w:rsidRPr="00665F25">
        <w:rPr>
          <w:rFonts w:cs="Arial"/>
        </w:rPr>
        <w:t>e przekroczyć wartości całkowitych</w:t>
      </w:r>
      <w:r w:rsidR="00891277">
        <w:rPr>
          <w:rFonts w:cs="Arial"/>
        </w:rPr>
        <w:t xml:space="preserve"> </w:t>
      </w:r>
      <w:r w:rsidRPr="00665F25">
        <w:rPr>
          <w:rFonts w:cs="Arial"/>
        </w:rPr>
        <w:t>wydatków kwalifikowalnych pomniejszo</w:t>
      </w:r>
      <w:r w:rsidR="003953C5" w:rsidRPr="00665F25">
        <w:rPr>
          <w:rFonts w:cs="Arial"/>
        </w:rPr>
        <w:t>nych o wartość wkładu niepienięż</w:t>
      </w:r>
      <w:r w:rsidRPr="00665F25">
        <w:rPr>
          <w:rFonts w:cs="Arial"/>
        </w:rPr>
        <w:t>nego.</w:t>
      </w:r>
    </w:p>
    <w:p w:rsidR="001D5981" w:rsidRDefault="001D5981" w:rsidP="000E6ED5">
      <w:pPr>
        <w:autoSpaceDE w:val="0"/>
        <w:autoSpaceDN w:val="0"/>
        <w:adjustRightInd w:val="0"/>
        <w:spacing w:after="0" w:line="240" w:lineRule="auto"/>
        <w:jc w:val="both"/>
        <w:rPr>
          <w:rFonts w:cs="Arial"/>
          <w:b/>
          <w:bC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26"/>
        <w:gridCol w:w="2509"/>
        <w:gridCol w:w="426"/>
        <w:gridCol w:w="1559"/>
      </w:tblGrid>
      <w:tr w:rsidR="003953C5" w:rsidTr="003953C5">
        <w:trPr>
          <w:jc w:val="center"/>
        </w:trPr>
        <w:tc>
          <w:tcPr>
            <w:tcW w:w="3397" w:type="dxa"/>
            <w:vAlign w:val="center"/>
          </w:tcPr>
          <w:p w:rsidR="003953C5" w:rsidRDefault="003953C5" w:rsidP="000E6ED5">
            <w:pPr>
              <w:autoSpaceDE w:val="0"/>
              <w:autoSpaceDN w:val="0"/>
              <w:adjustRightInd w:val="0"/>
              <w:jc w:val="both"/>
              <w:rPr>
                <w:rFonts w:cs="Arial"/>
                <w:b/>
                <w:bCs/>
              </w:rPr>
            </w:pPr>
            <w:r w:rsidRPr="00F04CB0">
              <w:rPr>
                <w:rFonts w:cs="Arial"/>
                <w:b/>
                <w:bCs/>
              </w:rPr>
              <w:t>Kwota dofinansowania dla projektu</w:t>
            </w:r>
            <w:r w:rsidR="00891277">
              <w:rPr>
                <w:rFonts w:cs="Arial"/>
                <w:b/>
                <w:bCs/>
              </w:rPr>
              <w:t xml:space="preserve"> </w:t>
            </w:r>
            <w:r w:rsidRPr="00F04CB0">
              <w:rPr>
                <w:rFonts w:cs="Arial"/>
                <w:b/>
                <w:bCs/>
              </w:rPr>
              <w:t xml:space="preserve">z funduszy oraz innych </w:t>
            </w:r>
            <w:r w:rsidRPr="003953C5">
              <w:rPr>
                <w:rFonts w:cs="Arial"/>
                <w:b/>
              </w:rPr>
              <w:t>ś</w:t>
            </w:r>
            <w:r w:rsidRPr="00F04CB0">
              <w:rPr>
                <w:rFonts w:cs="Arial"/>
                <w:b/>
                <w:bCs/>
              </w:rPr>
              <w:t>rodków</w:t>
            </w:r>
            <w:r w:rsidR="00891277">
              <w:rPr>
                <w:rFonts w:cs="Arial"/>
                <w:b/>
                <w:bCs/>
              </w:rPr>
              <w:t xml:space="preserve"> </w:t>
            </w:r>
            <w:r w:rsidRPr="00F04CB0">
              <w:rPr>
                <w:rFonts w:cs="Arial"/>
                <w:b/>
                <w:bCs/>
              </w:rPr>
              <w:t>publicznych (krajowych)</w:t>
            </w:r>
          </w:p>
        </w:tc>
        <w:tc>
          <w:tcPr>
            <w:tcW w:w="326" w:type="dxa"/>
            <w:vAlign w:val="center"/>
          </w:tcPr>
          <w:p w:rsidR="003953C5" w:rsidRDefault="003953C5" w:rsidP="003953C5">
            <w:pPr>
              <w:autoSpaceDE w:val="0"/>
              <w:autoSpaceDN w:val="0"/>
              <w:adjustRightInd w:val="0"/>
              <w:jc w:val="both"/>
              <w:rPr>
                <w:rFonts w:cs="Arial"/>
                <w:b/>
              </w:rPr>
            </w:pPr>
          </w:p>
          <w:p w:rsidR="003953C5" w:rsidRPr="003953C5" w:rsidRDefault="003953C5" w:rsidP="003953C5">
            <w:pPr>
              <w:autoSpaceDE w:val="0"/>
              <w:autoSpaceDN w:val="0"/>
              <w:adjustRightInd w:val="0"/>
              <w:jc w:val="both"/>
              <w:rPr>
                <w:rFonts w:cs="Arial"/>
                <w:b/>
              </w:rPr>
            </w:pPr>
            <w:r w:rsidRPr="003953C5">
              <w:rPr>
                <w:rFonts w:cs="Arial"/>
                <w:b/>
              </w:rPr>
              <w:t>≤</w:t>
            </w:r>
          </w:p>
          <w:p w:rsidR="003953C5" w:rsidRPr="003953C5" w:rsidRDefault="003953C5" w:rsidP="000E6ED5">
            <w:pPr>
              <w:autoSpaceDE w:val="0"/>
              <w:autoSpaceDN w:val="0"/>
              <w:adjustRightInd w:val="0"/>
              <w:jc w:val="both"/>
              <w:rPr>
                <w:rFonts w:cs="Arial"/>
                <w:b/>
                <w:bCs/>
              </w:rPr>
            </w:pPr>
          </w:p>
        </w:tc>
        <w:tc>
          <w:tcPr>
            <w:tcW w:w="2509" w:type="dxa"/>
            <w:vAlign w:val="center"/>
          </w:tcPr>
          <w:p w:rsidR="003953C5" w:rsidRPr="00F04CB0" w:rsidRDefault="003953C5" w:rsidP="003953C5">
            <w:pPr>
              <w:autoSpaceDE w:val="0"/>
              <w:autoSpaceDN w:val="0"/>
              <w:adjustRightInd w:val="0"/>
              <w:jc w:val="both"/>
              <w:rPr>
                <w:rFonts w:cs="Arial"/>
                <w:b/>
                <w:bCs/>
              </w:rPr>
            </w:pPr>
            <w:r w:rsidRPr="00F04CB0">
              <w:rPr>
                <w:rFonts w:cs="Arial"/>
                <w:b/>
                <w:bCs/>
              </w:rPr>
              <w:t>rzeczywiste całkowite</w:t>
            </w:r>
          </w:p>
          <w:p w:rsidR="003953C5" w:rsidRDefault="003953C5" w:rsidP="000E6ED5">
            <w:pPr>
              <w:autoSpaceDE w:val="0"/>
              <w:autoSpaceDN w:val="0"/>
              <w:adjustRightInd w:val="0"/>
              <w:jc w:val="both"/>
              <w:rPr>
                <w:rFonts w:cs="Arial"/>
                <w:b/>
                <w:bCs/>
              </w:rPr>
            </w:pPr>
            <w:r w:rsidRPr="00F04CB0">
              <w:rPr>
                <w:rFonts w:cs="Arial"/>
                <w:b/>
                <w:bCs/>
              </w:rPr>
              <w:t>wydatki kwalifikowalne</w:t>
            </w:r>
          </w:p>
        </w:tc>
        <w:tc>
          <w:tcPr>
            <w:tcW w:w="426" w:type="dxa"/>
            <w:vAlign w:val="center"/>
          </w:tcPr>
          <w:p w:rsidR="003953C5" w:rsidRDefault="003953C5" w:rsidP="003953C5">
            <w:pPr>
              <w:autoSpaceDE w:val="0"/>
              <w:autoSpaceDN w:val="0"/>
              <w:adjustRightInd w:val="0"/>
              <w:jc w:val="both"/>
              <w:rPr>
                <w:rFonts w:cs="Arial"/>
                <w:b/>
                <w:bCs/>
              </w:rPr>
            </w:pPr>
          </w:p>
          <w:p w:rsidR="003953C5" w:rsidRPr="00F04CB0" w:rsidRDefault="003953C5" w:rsidP="003953C5">
            <w:pPr>
              <w:autoSpaceDE w:val="0"/>
              <w:autoSpaceDN w:val="0"/>
              <w:adjustRightInd w:val="0"/>
              <w:jc w:val="both"/>
              <w:rPr>
                <w:rFonts w:cs="Arial"/>
                <w:b/>
                <w:bCs/>
              </w:rPr>
            </w:pPr>
            <w:r w:rsidRPr="00F04CB0">
              <w:rPr>
                <w:rFonts w:cs="Arial"/>
                <w:b/>
                <w:bCs/>
              </w:rPr>
              <w:t>–</w:t>
            </w:r>
          </w:p>
          <w:p w:rsidR="003953C5" w:rsidRDefault="003953C5" w:rsidP="000E6ED5">
            <w:pPr>
              <w:autoSpaceDE w:val="0"/>
              <w:autoSpaceDN w:val="0"/>
              <w:adjustRightInd w:val="0"/>
              <w:jc w:val="both"/>
              <w:rPr>
                <w:rFonts w:cs="Arial"/>
                <w:b/>
                <w:bCs/>
              </w:rPr>
            </w:pPr>
          </w:p>
        </w:tc>
        <w:tc>
          <w:tcPr>
            <w:tcW w:w="1559" w:type="dxa"/>
            <w:vAlign w:val="center"/>
          </w:tcPr>
          <w:p w:rsidR="003953C5" w:rsidRPr="003953C5" w:rsidRDefault="003953C5" w:rsidP="003953C5">
            <w:pPr>
              <w:autoSpaceDE w:val="0"/>
              <w:autoSpaceDN w:val="0"/>
              <w:adjustRightInd w:val="0"/>
              <w:jc w:val="both"/>
              <w:rPr>
                <w:rFonts w:cs="Arial"/>
                <w:b/>
                <w:bCs/>
              </w:rPr>
            </w:pPr>
            <w:r w:rsidRPr="003953C5">
              <w:rPr>
                <w:rFonts w:cs="Arial"/>
                <w:b/>
                <w:bCs/>
              </w:rPr>
              <w:t>wkład</w:t>
            </w:r>
          </w:p>
          <w:p w:rsidR="003953C5" w:rsidRPr="003953C5" w:rsidRDefault="003953C5" w:rsidP="003953C5">
            <w:pPr>
              <w:jc w:val="both"/>
              <w:rPr>
                <w:rFonts w:cs="Arial"/>
                <w:b/>
                <w:bCs/>
              </w:rPr>
            </w:pPr>
            <w:r w:rsidRPr="003953C5">
              <w:rPr>
                <w:rFonts w:cs="Arial"/>
                <w:b/>
                <w:bCs/>
              </w:rPr>
              <w:t>niepieni</w:t>
            </w:r>
            <w:r w:rsidRPr="003953C5">
              <w:rPr>
                <w:rFonts w:cs="Arial"/>
                <w:b/>
              </w:rPr>
              <w:t>ęż</w:t>
            </w:r>
            <w:r w:rsidRPr="003953C5">
              <w:rPr>
                <w:rFonts w:cs="Arial"/>
                <w:b/>
                <w:bCs/>
              </w:rPr>
              <w:t>ny</w:t>
            </w:r>
          </w:p>
        </w:tc>
      </w:tr>
    </w:tbl>
    <w:p w:rsidR="007071F1" w:rsidRDefault="007071F1" w:rsidP="00AD6C0A">
      <w:pPr>
        <w:spacing w:line="240" w:lineRule="auto"/>
      </w:pPr>
    </w:p>
    <w:p w:rsidR="009A6CB2" w:rsidRDefault="009A6CB2" w:rsidP="00AD6C0A">
      <w:pPr>
        <w:spacing w:line="240" w:lineRule="auto"/>
      </w:pPr>
    </w:p>
    <w:p w:rsidR="009A6CB2" w:rsidRDefault="009A6CB2" w:rsidP="00AD6C0A">
      <w:pPr>
        <w:spacing w:line="240" w:lineRule="auto"/>
      </w:pPr>
    </w:p>
    <w:p w:rsidR="008E37E2" w:rsidRPr="008E37E2" w:rsidRDefault="008E37E2" w:rsidP="008E37E2">
      <w:pPr>
        <w:pStyle w:val="Akapitzlist"/>
        <w:numPr>
          <w:ilvl w:val="0"/>
          <w:numId w:val="21"/>
        </w:numPr>
        <w:spacing w:line="240" w:lineRule="auto"/>
        <w:ind w:left="426" w:hanging="426"/>
        <w:rPr>
          <w:b/>
        </w:rPr>
      </w:pPr>
      <w:r w:rsidRPr="00D61417">
        <w:rPr>
          <w:b/>
        </w:rPr>
        <w:t xml:space="preserve">Wkład </w:t>
      </w:r>
      <w:r>
        <w:rPr>
          <w:b/>
        </w:rPr>
        <w:t xml:space="preserve">pieniężny </w:t>
      </w:r>
    </w:p>
    <w:p w:rsidR="008E37E2" w:rsidRPr="00D61417" w:rsidRDefault="008E37E2" w:rsidP="008E37E2">
      <w:pPr>
        <w:spacing w:line="240" w:lineRule="auto"/>
        <w:jc w:val="both"/>
      </w:pPr>
      <w:r>
        <w:t xml:space="preserve">Wkład </w:t>
      </w:r>
      <w:r w:rsidRPr="00D61417">
        <w:t xml:space="preserve">pieniężny </w:t>
      </w:r>
      <w:r>
        <w:t>musi zostać wniesiony w wysokości co najmni</w:t>
      </w:r>
      <w:r w:rsidR="002541B4">
        <w:t>ej 25% kosztów kwalifikowalnych, pochodzących ze środków własnych lub zewnętrznych źródeł finansowania, w postaci wolnej od wszelkiego publicznego wsparcia finansowego.</w:t>
      </w:r>
    </w:p>
    <w:p w:rsidR="008E37E2" w:rsidRPr="00F04CB0" w:rsidRDefault="008E37E2" w:rsidP="00AD6C0A">
      <w:pPr>
        <w:spacing w:line="240" w:lineRule="auto"/>
      </w:pPr>
    </w:p>
    <w:sectPr w:rsidR="008E37E2" w:rsidRPr="00F04CB0" w:rsidSect="008234A6">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817" w:rsidRDefault="001D4817" w:rsidP="001D5981">
      <w:pPr>
        <w:spacing w:after="0" w:line="240" w:lineRule="auto"/>
      </w:pPr>
      <w:r>
        <w:separator/>
      </w:r>
    </w:p>
  </w:endnote>
  <w:endnote w:type="continuationSeparator" w:id="0">
    <w:p w:rsidR="001D4817" w:rsidRDefault="001D4817" w:rsidP="001D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roman"/>
    <w:pitch w:val="default"/>
    <w:sig w:usb0="00000001" w:usb1="00000000" w:usb2="00000000" w:usb3="00000000" w:csb0="00000003" w:csb1="00000000"/>
  </w:font>
  <w:font w:name="EUAlbertina-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719399"/>
      <w:docPartObj>
        <w:docPartGallery w:val="Page Numbers (Bottom of Page)"/>
        <w:docPartUnique/>
      </w:docPartObj>
    </w:sdtPr>
    <w:sdtEndPr/>
    <w:sdtContent>
      <w:p w:rsidR="009A6CB2" w:rsidRDefault="009A6CB2">
        <w:pPr>
          <w:pStyle w:val="Stopka"/>
          <w:jc w:val="center"/>
        </w:pPr>
        <w:r>
          <w:fldChar w:fldCharType="begin"/>
        </w:r>
        <w:r>
          <w:instrText>PAGE   \* MERGEFORMAT</w:instrText>
        </w:r>
        <w:r>
          <w:fldChar w:fldCharType="separate"/>
        </w:r>
        <w:r w:rsidR="00765313">
          <w:rPr>
            <w:noProof/>
          </w:rPr>
          <w:t>1</w:t>
        </w:r>
        <w:r>
          <w:fldChar w:fldCharType="end"/>
        </w:r>
      </w:p>
    </w:sdtContent>
  </w:sdt>
  <w:p w:rsidR="009A6CB2" w:rsidRDefault="009A6C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817" w:rsidRDefault="001D4817" w:rsidP="001D5981">
      <w:pPr>
        <w:spacing w:after="0" w:line="240" w:lineRule="auto"/>
      </w:pPr>
      <w:r>
        <w:separator/>
      </w:r>
    </w:p>
  </w:footnote>
  <w:footnote w:type="continuationSeparator" w:id="0">
    <w:p w:rsidR="001D4817" w:rsidRDefault="001D4817" w:rsidP="001D5981">
      <w:pPr>
        <w:spacing w:after="0" w:line="240" w:lineRule="auto"/>
      </w:pPr>
      <w:r>
        <w:continuationSeparator/>
      </w:r>
    </w:p>
  </w:footnote>
  <w:footnote w:id="1">
    <w:p w:rsidR="00523415" w:rsidRDefault="00523415">
      <w:pPr>
        <w:pStyle w:val="Tekstprzypisudolnego"/>
      </w:pPr>
      <w:r>
        <w:rPr>
          <w:rStyle w:val="Odwoanieprzypisudolnego"/>
        </w:rPr>
        <w:footnoteRef/>
      </w:r>
      <w:r w:rsidRPr="00523415">
        <w:rPr>
          <w:sz w:val="16"/>
          <w:szCs w:val="16"/>
        </w:rPr>
        <w:t xml:space="preserve">Kwalifikowalnymi  </w:t>
      </w:r>
      <w:r w:rsidRPr="00A16F00">
        <w:rPr>
          <w:sz w:val="16"/>
          <w:szCs w:val="16"/>
        </w:rPr>
        <w:t>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p>
  </w:footnote>
  <w:footnote w:id="2">
    <w:p w:rsidR="00CE4336" w:rsidRPr="00B52586" w:rsidRDefault="00CE4336" w:rsidP="00CE4336">
      <w:pPr>
        <w:pStyle w:val="Tekstprzypisudolnego"/>
        <w:rPr>
          <w:sz w:val="16"/>
          <w:szCs w:val="16"/>
        </w:rPr>
      </w:pPr>
      <w:r w:rsidRPr="00B52586">
        <w:rPr>
          <w:rStyle w:val="Odwoanieprzypisudolnego"/>
          <w:sz w:val="16"/>
          <w:szCs w:val="16"/>
        </w:rPr>
        <w:footnoteRef/>
      </w:r>
      <w:r w:rsidRPr="00B52586">
        <w:rPr>
          <w:sz w:val="16"/>
          <w:szCs w:val="16"/>
        </w:rPr>
        <w:t xml:space="preserve"> Art. 2 pkt 49 rozporządzenia Komisji (UE) Nr 651/2014 z dnia 17 czerwca 2014 r. uznającym niektóre rodzaje pomocy za zgodne z rynkiem wewnętrznym w zastosowaniu art. 107 i 108 Traktatu (Dz. Urz. UE L 187 z 26.06.2014, str. 1) „inwestycja początkowa” oznacza: </w:t>
      </w:r>
    </w:p>
    <w:p w:rsidR="00CE4336" w:rsidRPr="00B52586" w:rsidRDefault="00CE4336" w:rsidP="00CE4336">
      <w:pPr>
        <w:pStyle w:val="Tekstprzypisudolnego"/>
        <w:rPr>
          <w:sz w:val="16"/>
          <w:szCs w:val="16"/>
        </w:rPr>
      </w:pPr>
      <w:r w:rsidRPr="00B52586">
        <w:rPr>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B11ACD" w:rsidRPr="00A00D96" w:rsidRDefault="00CE4336" w:rsidP="00CE4336">
      <w:pPr>
        <w:pStyle w:val="Tekstprzypisudolnego"/>
        <w:rPr>
          <w:sz w:val="16"/>
          <w:szCs w:val="16"/>
        </w:rPr>
      </w:pPr>
      <w:r w:rsidRPr="00B52586">
        <w:rPr>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footnote>
  <w:footnote w:id="3">
    <w:p w:rsidR="00BE7A1F" w:rsidRDefault="00BE7A1F" w:rsidP="00BE7A1F">
      <w:pPr>
        <w:pStyle w:val="Tekstprzypisudolnego"/>
        <w:jc w:val="both"/>
      </w:pPr>
      <w:r>
        <w:rPr>
          <w:rStyle w:val="Odwoanieprzypisudolnego"/>
        </w:rPr>
        <w:footnoteRef/>
      </w:r>
      <w:r w:rsidRPr="00BD3A80">
        <w:rPr>
          <w:rFonts w:ascii="Calibri" w:hAnsi="Calibri"/>
        </w:rPr>
        <w:t>Wytyczn</w:t>
      </w:r>
      <w:r>
        <w:rPr>
          <w:rFonts w:ascii="Calibri" w:hAnsi="Calibri"/>
        </w:rPr>
        <w:t>e</w:t>
      </w:r>
      <w:r w:rsidRPr="00BD3A80">
        <w:rPr>
          <w:rFonts w:ascii="Calibri" w:hAnsi="Calibri"/>
        </w:rPr>
        <w:t xml:space="preserve"> w zakresie kwalifikowalności wydatków w ramach Europejskiego Funduszu Rozwoju Regionalnego, Europejskiego Funduszu Społecznego oraz Funduszu Spójności na lata 2014-2020 z dnia 10 kwietnia 2015r.</w:t>
      </w:r>
    </w:p>
  </w:footnote>
  <w:footnote w:id="4">
    <w:p w:rsidR="00BE7A1F" w:rsidRDefault="00BE7A1F">
      <w:pPr>
        <w:pStyle w:val="Tekstprzypisudolnego"/>
      </w:pPr>
      <w:r>
        <w:rPr>
          <w:rStyle w:val="Odwoanieprzypisudolnego"/>
        </w:rPr>
        <w:footnoteRef/>
      </w:r>
      <w:r>
        <w:t>J.w.</w:t>
      </w:r>
    </w:p>
  </w:footnote>
  <w:footnote w:id="5">
    <w:p w:rsidR="00BE7A1F" w:rsidRDefault="00BE7A1F">
      <w:pPr>
        <w:pStyle w:val="Tekstprzypisudolnego"/>
      </w:pPr>
      <w:r>
        <w:rPr>
          <w:rStyle w:val="Odwoanieprzypisudolnego"/>
        </w:rPr>
        <w:footnoteRef/>
      </w:r>
      <w:r>
        <w:t>J.w.</w:t>
      </w:r>
    </w:p>
  </w:footnote>
  <w:footnote w:id="6">
    <w:p w:rsidR="001D5981" w:rsidRDefault="001D5981" w:rsidP="00D61417">
      <w:pPr>
        <w:autoSpaceDE w:val="0"/>
        <w:autoSpaceDN w:val="0"/>
        <w:adjustRightInd w:val="0"/>
        <w:spacing w:after="0" w:line="240" w:lineRule="auto"/>
        <w:jc w:val="both"/>
      </w:pPr>
      <w:r>
        <w:rPr>
          <w:rStyle w:val="Odwoanieprzypisudolnego"/>
        </w:rPr>
        <w:footnoteRef/>
      </w:r>
      <w:r w:rsidRPr="00403F93">
        <w:rPr>
          <w:rFonts w:cs="Arial"/>
          <w:sz w:val="16"/>
          <w:szCs w:val="16"/>
        </w:rPr>
        <w:t>Wkładem własnym nie zawsze jest cała nieruchomość; mogą być to np. sale, których wartość wycenia się jako koszt</w:t>
      </w:r>
      <w:r w:rsidR="00891277">
        <w:rPr>
          <w:rFonts w:cs="Arial"/>
          <w:sz w:val="16"/>
          <w:szCs w:val="16"/>
        </w:rPr>
        <w:t xml:space="preserve"> </w:t>
      </w:r>
      <w:r w:rsidRPr="00403F93">
        <w:rPr>
          <w:rFonts w:cs="Arial"/>
          <w:sz w:val="16"/>
          <w:szCs w:val="16"/>
        </w:rPr>
        <w:t>eksploatacji/utrzymania danego metrażu (stawkę może określać np. taryfikator danej instytucji).</w:t>
      </w:r>
    </w:p>
  </w:footnote>
  <w:footnote w:id="7">
    <w:p w:rsidR="001D5981" w:rsidRPr="00D61417" w:rsidRDefault="001D5981" w:rsidP="00D61417">
      <w:pPr>
        <w:spacing w:after="0" w:line="240" w:lineRule="auto"/>
        <w:jc w:val="both"/>
        <w:rPr>
          <w:rFonts w:cs="Arial"/>
          <w:sz w:val="16"/>
          <w:szCs w:val="16"/>
        </w:rPr>
      </w:pPr>
      <w:r>
        <w:rPr>
          <w:rStyle w:val="Odwoanieprzypisudolnego"/>
        </w:rPr>
        <w:footnoteRef/>
      </w:r>
      <w:r w:rsidRPr="00403F93">
        <w:rPr>
          <w:rFonts w:cs="Arial"/>
          <w:sz w:val="16"/>
          <w:szCs w:val="16"/>
        </w:rPr>
        <w:t>Termin ważności sporządzonego dokumentu określa ustawa z dnia 21 sierpnia 1997 r. o gospodarce nieruchomościami.</w:t>
      </w:r>
    </w:p>
  </w:footnote>
  <w:footnote w:id="8">
    <w:p w:rsidR="00D61417" w:rsidRPr="00D61417" w:rsidRDefault="00D61417" w:rsidP="00D61417">
      <w:pPr>
        <w:pStyle w:val="Tekstprzypisudolnego"/>
        <w:rPr>
          <w:sz w:val="16"/>
          <w:szCs w:val="16"/>
        </w:rPr>
      </w:pPr>
      <w:r w:rsidRPr="00D61417">
        <w:rPr>
          <w:rStyle w:val="Odwoanieprzypisudolnego"/>
          <w:sz w:val="16"/>
          <w:szCs w:val="16"/>
        </w:rPr>
        <w:footnoteRef/>
      </w:r>
      <w:r w:rsidRPr="00D61417">
        <w:rPr>
          <w:rFonts w:ascii="Calibri" w:hAnsi="Calibri"/>
          <w:sz w:val="16"/>
          <w:szCs w:val="16"/>
        </w:rPr>
        <w:t>Wytyczne w zakresie kwalifikowalności wydatków w ramach Europejskiego Funduszu Rozwoju Regionalnego, Europejskiego Funduszu Społecznego oraz Funduszu Spójności na lata 2014-2020 z dnia 10 kwietnia 2015r.,</w:t>
      </w:r>
    </w:p>
  </w:footnote>
  <w:footnote w:id="9">
    <w:p w:rsidR="008234A6" w:rsidRPr="008234A6" w:rsidRDefault="008234A6">
      <w:pPr>
        <w:pStyle w:val="Tekstprzypisudolnego"/>
        <w:rPr>
          <w:sz w:val="16"/>
          <w:szCs w:val="16"/>
        </w:rPr>
      </w:pPr>
      <w:r w:rsidRPr="008234A6">
        <w:rPr>
          <w:rStyle w:val="Odwoanieprzypisudolnego"/>
          <w:sz w:val="16"/>
          <w:szCs w:val="16"/>
        </w:rPr>
        <w:footnoteRef/>
      </w:r>
      <w:r w:rsidRPr="008234A6">
        <w:rPr>
          <w:sz w:val="16"/>
          <w:szCs w:val="16"/>
        </w:rPr>
        <w:t xml:space="preserve"> Dotyczy tylko organizacji pozarządowych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645"/>
    <w:multiLevelType w:val="hybridMultilevel"/>
    <w:tmpl w:val="44A28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349D8"/>
    <w:multiLevelType w:val="hybridMultilevel"/>
    <w:tmpl w:val="DDBAA94A"/>
    <w:lvl w:ilvl="0" w:tplc="7EE0C728">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599004C"/>
    <w:multiLevelType w:val="hybridMultilevel"/>
    <w:tmpl w:val="223E1E2E"/>
    <w:lvl w:ilvl="0" w:tplc="04150001">
      <w:start w:val="1"/>
      <w:numFmt w:val="bullet"/>
      <w:lvlText w:val=""/>
      <w:lvlJc w:val="left"/>
      <w:pPr>
        <w:ind w:left="852" w:hanging="360"/>
      </w:pPr>
      <w:rPr>
        <w:rFonts w:ascii="Symbol" w:hAnsi="Symbol"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3" w15:restartNumberingAfterBreak="0">
    <w:nsid w:val="074F0B82"/>
    <w:multiLevelType w:val="hybridMultilevel"/>
    <w:tmpl w:val="0A64FEA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8F545A8"/>
    <w:multiLevelType w:val="hybridMultilevel"/>
    <w:tmpl w:val="EA100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72B2B"/>
    <w:multiLevelType w:val="hybridMultilevel"/>
    <w:tmpl w:val="8990B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121A1"/>
    <w:multiLevelType w:val="hybridMultilevel"/>
    <w:tmpl w:val="95186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CF7663"/>
    <w:multiLevelType w:val="hybridMultilevel"/>
    <w:tmpl w:val="87600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7C748F"/>
    <w:multiLevelType w:val="hybridMultilevel"/>
    <w:tmpl w:val="AF9EDE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51C9B"/>
    <w:multiLevelType w:val="hybridMultilevel"/>
    <w:tmpl w:val="26E6A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D1C60"/>
    <w:multiLevelType w:val="hybridMultilevel"/>
    <w:tmpl w:val="68502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64990"/>
    <w:multiLevelType w:val="hybridMultilevel"/>
    <w:tmpl w:val="9DF400D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6171E2"/>
    <w:multiLevelType w:val="hybridMultilevel"/>
    <w:tmpl w:val="6EEA9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173CC3"/>
    <w:multiLevelType w:val="hybridMultilevel"/>
    <w:tmpl w:val="68EEE7DE"/>
    <w:lvl w:ilvl="0" w:tplc="CDBE6DD0">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125C91"/>
    <w:multiLevelType w:val="hybridMultilevel"/>
    <w:tmpl w:val="E7125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201B65"/>
    <w:multiLevelType w:val="hybridMultilevel"/>
    <w:tmpl w:val="74FA1E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ED6347"/>
    <w:multiLevelType w:val="hybridMultilevel"/>
    <w:tmpl w:val="BB320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D01D8"/>
    <w:multiLevelType w:val="hybridMultilevel"/>
    <w:tmpl w:val="618E0D94"/>
    <w:lvl w:ilvl="0" w:tplc="5B649C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4AA2D79"/>
    <w:multiLevelType w:val="hybridMultilevel"/>
    <w:tmpl w:val="A13E5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87F64"/>
    <w:multiLevelType w:val="hybridMultilevel"/>
    <w:tmpl w:val="E48E9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F53ABB"/>
    <w:multiLevelType w:val="hybridMultilevel"/>
    <w:tmpl w:val="895AAE6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80B3AF0"/>
    <w:multiLevelType w:val="hybridMultilevel"/>
    <w:tmpl w:val="21A664AC"/>
    <w:lvl w:ilvl="0" w:tplc="98580CF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6A266F"/>
    <w:multiLevelType w:val="hybridMultilevel"/>
    <w:tmpl w:val="C5A25C94"/>
    <w:lvl w:ilvl="0" w:tplc="075A4C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B96BCC"/>
    <w:multiLevelType w:val="hybridMultilevel"/>
    <w:tmpl w:val="C62C1534"/>
    <w:lvl w:ilvl="0" w:tplc="0ACEE6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D2A38C4"/>
    <w:multiLevelType w:val="hybridMultilevel"/>
    <w:tmpl w:val="0AA476BC"/>
    <w:lvl w:ilvl="0" w:tplc="97F29D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55B7684"/>
    <w:multiLevelType w:val="hybridMultilevel"/>
    <w:tmpl w:val="FC76E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403738"/>
    <w:multiLevelType w:val="hybridMultilevel"/>
    <w:tmpl w:val="1E96C72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9E06935"/>
    <w:multiLevelType w:val="hybridMultilevel"/>
    <w:tmpl w:val="11B824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744CA5"/>
    <w:multiLevelType w:val="hybridMultilevel"/>
    <w:tmpl w:val="310CE7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295624"/>
    <w:multiLevelType w:val="hybridMultilevel"/>
    <w:tmpl w:val="C74EB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8E45B5"/>
    <w:multiLevelType w:val="hybridMultilevel"/>
    <w:tmpl w:val="056AF95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56A4254E"/>
    <w:multiLevelType w:val="hybridMultilevel"/>
    <w:tmpl w:val="91D62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03732A"/>
    <w:multiLevelType w:val="hybridMultilevel"/>
    <w:tmpl w:val="E0F24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046370"/>
    <w:multiLevelType w:val="hybridMultilevel"/>
    <w:tmpl w:val="C8B6A79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A6058F"/>
    <w:multiLevelType w:val="hybridMultilevel"/>
    <w:tmpl w:val="E654B6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32E2DC7"/>
    <w:multiLevelType w:val="hybridMultilevel"/>
    <w:tmpl w:val="450C5B52"/>
    <w:lvl w:ilvl="0" w:tplc="C0367152">
      <w:start w:val="1"/>
      <w:numFmt w:val="decimal"/>
      <w:lvlText w:val="%1."/>
      <w:lvlJc w:val="left"/>
      <w:pPr>
        <w:ind w:left="644" w:hanging="360"/>
      </w:pPr>
      <w:rPr>
        <w:rFonts w:asciiTheme="minorHAnsi" w:eastAsiaTheme="minorHAnsi" w:hAnsiTheme="minorHAnsi"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4FD0B94"/>
    <w:multiLevelType w:val="hybridMultilevel"/>
    <w:tmpl w:val="68EEE7DE"/>
    <w:lvl w:ilvl="0" w:tplc="CDBE6DD0">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AB25D8"/>
    <w:multiLevelType w:val="hybridMultilevel"/>
    <w:tmpl w:val="251C0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FB28F4"/>
    <w:multiLevelType w:val="hybridMultilevel"/>
    <w:tmpl w:val="C4BCFE5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74FA5969"/>
    <w:multiLevelType w:val="hybridMultilevel"/>
    <w:tmpl w:val="D7C2E7D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8D21E9"/>
    <w:multiLevelType w:val="hybridMultilevel"/>
    <w:tmpl w:val="563005E8"/>
    <w:lvl w:ilvl="0" w:tplc="C436F1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AA312EC"/>
    <w:multiLevelType w:val="hybridMultilevel"/>
    <w:tmpl w:val="2D7A0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0C1A14"/>
    <w:multiLevelType w:val="hybridMultilevel"/>
    <w:tmpl w:val="47C26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33"/>
  </w:num>
  <w:num w:numId="3">
    <w:abstractNumId w:val="13"/>
  </w:num>
  <w:num w:numId="4">
    <w:abstractNumId w:val="34"/>
  </w:num>
  <w:num w:numId="5">
    <w:abstractNumId w:val="22"/>
  </w:num>
  <w:num w:numId="6">
    <w:abstractNumId w:val="0"/>
  </w:num>
  <w:num w:numId="7">
    <w:abstractNumId w:val="26"/>
  </w:num>
  <w:num w:numId="8">
    <w:abstractNumId w:val="6"/>
  </w:num>
  <w:num w:numId="9">
    <w:abstractNumId w:val="32"/>
  </w:num>
  <w:num w:numId="10">
    <w:abstractNumId w:val="35"/>
  </w:num>
  <w:num w:numId="11">
    <w:abstractNumId w:val="39"/>
  </w:num>
  <w:num w:numId="12">
    <w:abstractNumId w:val="2"/>
  </w:num>
  <w:num w:numId="13">
    <w:abstractNumId w:val="42"/>
  </w:num>
  <w:num w:numId="14">
    <w:abstractNumId w:val="8"/>
  </w:num>
  <w:num w:numId="15">
    <w:abstractNumId w:val="12"/>
  </w:num>
  <w:num w:numId="16">
    <w:abstractNumId w:val="43"/>
  </w:num>
  <w:num w:numId="17">
    <w:abstractNumId w:val="29"/>
  </w:num>
  <w:num w:numId="18">
    <w:abstractNumId w:val="10"/>
  </w:num>
  <w:num w:numId="19">
    <w:abstractNumId w:val="24"/>
  </w:num>
  <w:num w:numId="20">
    <w:abstractNumId w:val="21"/>
  </w:num>
  <w:num w:numId="21">
    <w:abstractNumId w:val="23"/>
  </w:num>
  <w:num w:numId="22">
    <w:abstractNumId w:val="25"/>
  </w:num>
  <w:num w:numId="23">
    <w:abstractNumId w:val="28"/>
  </w:num>
  <w:num w:numId="24">
    <w:abstractNumId w:val="9"/>
  </w:num>
  <w:num w:numId="25">
    <w:abstractNumId w:val="7"/>
  </w:num>
  <w:num w:numId="26">
    <w:abstractNumId w:val="14"/>
  </w:num>
  <w:num w:numId="27">
    <w:abstractNumId w:val="36"/>
  </w:num>
  <w:num w:numId="28">
    <w:abstractNumId w:val="37"/>
  </w:num>
  <w:num w:numId="29">
    <w:abstractNumId w:val="1"/>
  </w:num>
  <w:num w:numId="30">
    <w:abstractNumId w:val="41"/>
  </w:num>
  <w:num w:numId="31">
    <w:abstractNumId w:val="27"/>
  </w:num>
  <w:num w:numId="32">
    <w:abstractNumId w:val="11"/>
  </w:num>
  <w:num w:numId="33">
    <w:abstractNumId w:val="20"/>
  </w:num>
  <w:num w:numId="34">
    <w:abstractNumId w:val="5"/>
  </w:num>
  <w:num w:numId="35">
    <w:abstractNumId w:val="38"/>
  </w:num>
  <w:num w:numId="36">
    <w:abstractNumId w:val="31"/>
  </w:num>
  <w:num w:numId="37">
    <w:abstractNumId w:val="19"/>
  </w:num>
  <w:num w:numId="38">
    <w:abstractNumId w:val="15"/>
  </w:num>
  <w:num w:numId="39">
    <w:abstractNumId w:val="4"/>
  </w:num>
  <w:num w:numId="40">
    <w:abstractNumId w:val="17"/>
  </w:num>
  <w:num w:numId="41">
    <w:abstractNumId w:val="18"/>
  </w:num>
  <w:num w:numId="42">
    <w:abstractNumId w:val="16"/>
  </w:num>
  <w:num w:numId="43">
    <w:abstractNumId w:val="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01C4"/>
    <w:rsid w:val="0001084B"/>
    <w:rsid w:val="0001792D"/>
    <w:rsid w:val="00027936"/>
    <w:rsid w:val="00027A10"/>
    <w:rsid w:val="00042D68"/>
    <w:rsid w:val="0008786D"/>
    <w:rsid w:val="000A1471"/>
    <w:rsid w:val="000B27C7"/>
    <w:rsid w:val="000C292C"/>
    <w:rsid w:val="000D2912"/>
    <w:rsid w:val="000E6ED5"/>
    <w:rsid w:val="00123987"/>
    <w:rsid w:val="00130EDC"/>
    <w:rsid w:val="00133D80"/>
    <w:rsid w:val="00143514"/>
    <w:rsid w:val="001879CF"/>
    <w:rsid w:val="001A666B"/>
    <w:rsid w:val="001B300E"/>
    <w:rsid w:val="001B39A7"/>
    <w:rsid w:val="001C528A"/>
    <w:rsid w:val="001D4817"/>
    <w:rsid w:val="001D5981"/>
    <w:rsid w:val="001E1DD3"/>
    <w:rsid w:val="00223B92"/>
    <w:rsid w:val="002332F0"/>
    <w:rsid w:val="00244999"/>
    <w:rsid w:val="002541B4"/>
    <w:rsid w:val="00263BA0"/>
    <w:rsid w:val="002643D8"/>
    <w:rsid w:val="00277FEB"/>
    <w:rsid w:val="002858F9"/>
    <w:rsid w:val="00285D5D"/>
    <w:rsid w:val="00287411"/>
    <w:rsid w:val="002A5B4B"/>
    <w:rsid w:val="002B114E"/>
    <w:rsid w:val="002E7A34"/>
    <w:rsid w:val="00305941"/>
    <w:rsid w:val="00321E8B"/>
    <w:rsid w:val="003258B6"/>
    <w:rsid w:val="0033343F"/>
    <w:rsid w:val="00343C71"/>
    <w:rsid w:val="003511C4"/>
    <w:rsid w:val="00352C08"/>
    <w:rsid w:val="003942D5"/>
    <w:rsid w:val="003953C5"/>
    <w:rsid w:val="003B0727"/>
    <w:rsid w:val="003C6D7A"/>
    <w:rsid w:val="00404D8D"/>
    <w:rsid w:val="0046628B"/>
    <w:rsid w:val="004B11F3"/>
    <w:rsid w:val="004B2AE8"/>
    <w:rsid w:val="004B4B07"/>
    <w:rsid w:val="004D60F8"/>
    <w:rsid w:val="004E6179"/>
    <w:rsid w:val="00520891"/>
    <w:rsid w:val="00523415"/>
    <w:rsid w:val="00527217"/>
    <w:rsid w:val="0054104F"/>
    <w:rsid w:val="00547F1D"/>
    <w:rsid w:val="005768A9"/>
    <w:rsid w:val="005F2626"/>
    <w:rsid w:val="005F692F"/>
    <w:rsid w:val="005F7D26"/>
    <w:rsid w:val="006279A9"/>
    <w:rsid w:val="00665F25"/>
    <w:rsid w:val="00677F4C"/>
    <w:rsid w:val="00695FFA"/>
    <w:rsid w:val="006A68EE"/>
    <w:rsid w:val="006C3AB9"/>
    <w:rsid w:val="006D16A5"/>
    <w:rsid w:val="006F47DB"/>
    <w:rsid w:val="006F641A"/>
    <w:rsid w:val="007071F1"/>
    <w:rsid w:val="00735F4F"/>
    <w:rsid w:val="00765313"/>
    <w:rsid w:val="00766B65"/>
    <w:rsid w:val="00783B14"/>
    <w:rsid w:val="00791D45"/>
    <w:rsid w:val="007A4D3D"/>
    <w:rsid w:val="007C0925"/>
    <w:rsid w:val="007D44E9"/>
    <w:rsid w:val="007E5712"/>
    <w:rsid w:val="008132A1"/>
    <w:rsid w:val="00815531"/>
    <w:rsid w:val="008234A6"/>
    <w:rsid w:val="00827088"/>
    <w:rsid w:val="00867754"/>
    <w:rsid w:val="00891277"/>
    <w:rsid w:val="008A2E16"/>
    <w:rsid w:val="008B5835"/>
    <w:rsid w:val="008C172B"/>
    <w:rsid w:val="008E24F6"/>
    <w:rsid w:val="008E37E2"/>
    <w:rsid w:val="00901FCD"/>
    <w:rsid w:val="009164E2"/>
    <w:rsid w:val="009A6CB2"/>
    <w:rsid w:val="009B1C84"/>
    <w:rsid w:val="009B620D"/>
    <w:rsid w:val="009E14AE"/>
    <w:rsid w:val="009E29AD"/>
    <w:rsid w:val="009E42AD"/>
    <w:rsid w:val="00A00D96"/>
    <w:rsid w:val="00A0771E"/>
    <w:rsid w:val="00A16F00"/>
    <w:rsid w:val="00A24B34"/>
    <w:rsid w:val="00A42F06"/>
    <w:rsid w:val="00A71456"/>
    <w:rsid w:val="00A857EA"/>
    <w:rsid w:val="00AC3C28"/>
    <w:rsid w:val="00AD6C0A"/>
    <w:rsid w:val="00AF5E31"/>
    <w:rsid w:val="00B1148A"/>
    <w:rsid w:val="00B11ACD"/>
    <w:rsid w:val="00B13268"/>
    <w:rsid w:val="00B36B23"/>
    <w:rsid w:val="00B47C34"/>
    <w:rsid w:val="00B52586"/>
    <w:rsid w:val="00B66CD4"/>
    <w:rsid w:val="00B86483"/>
    <w:rsid w:val="00B94855"/>
    <w:rsid w:val="00B94A0E"/>
    <w:rsid w:val="00BC21FC"/>
    <w:rsid w:val="00BD01C4"/>
    <w:rsid w:val="00BD3A80"/>
    <w:rsid w:val="00BE312D"/>
    <w:rsid w:val="00BE7A1F"/>
    <w:rsid w:val="00C01F5C"/>
    <w:rsid w:val="00C0207C"/>
    <w:rsid w:val="00C04F55"/>
    <w:rsid w:val="00C05C8B"/>
    <w:rsid w:val="00C11A46"/>
    <w:rsid w:val="00C5264C"/>
    <w:rsid w:val="00C6405D"/>
    <w:rsid w:val="00C81120"/>
    <w:rsid w:val="00CA0BAE"/>
    <w:rsid w:val="00CA5BFB"/>
    <w:rsid w:val="00CA66ED"/>
    <w:rsid w:val="00CB4EC8"/>
    <w:rsid w:val="00CE4336"/>
    <w:rsid w:val="00CE4DB3"/>
    <w:rsid w:val="00CE6F59"/>
    <w:rsid w:val="00D50386"/>
    <w:rsid w:val="00D505B2"/>
    <w:rsid w:val="00D52D3E"/>
    <w:rsid w:val="00D61417"/>
    <w:rsid w:val="00DA67CD"/>
    <w:rsid w:val="00DC0572"/>
    <w:rsid w:val="00DD1947"/>
    <w:rsid w:val="00DD64CE"/>
    <w:rsid w:val="00E262ED"/>
    <w:rsid w:val="00E61A09"/>
    <w:rsid w:val="00E8644C"/>
    <w:rsid w:val="00E94C43"/>
    <w:rsid w:val="00E9633E"/>
    <w:rsid w:val="00EA23EA"/>
    <w:rsid w:val="00EC744B"/>
    <w:rsid w:val="00ED4C78"/>
    <w:rsid w:val="00EF5DB6"/>
    <w:rsid w:val="00F00661"/>
    <w:rsid w:val="00F04CB0"/>
    <w:rsid w:val="00F549AE"/>
    <w:rsid w:val="00F701F1"/>
    <w:rsid w:val="00F83F40"/>
    <w:rsid w:val="00F856D3"/>
    <w:rsid w:val="00F920AD"/>
    <w:rsid w:val="00FD408A"/>
    <w:rsid w:val="00FF5F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52BD8-92C6-4A29-95D1-87DE4B8B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8A9"/>
  </w:style>
  <w:style w:type="paragraph" w:styleId="Nagwek3">
    <w:name w:val="heading 3"/>
    <w:basedOn w:val="Normalny"/>
    <w:next w:val="Normalny"/>
    <w:link w:val="Nagwek3Znak"/>
    <w:uiPriority w:val="9"/>
    <w:unhideWhenUsed/>
    <w:qFormat/>
    <w:rsid w:val="007071F1"/>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071F1"/>
    <w:pPr>
      <w:spacing w:after="200" w:line="276" w:lineRule="auto"/>
      <w:ind w:left="720"/>
      <w:contextualSpacing/>
    </w:pPr>
  </w:style>
  <w:style w:type="character" w:customStyle="1" w:styleId="AkapitzlistZnak">
    <w:name w:val="Akapit z listą Znak"/>
    <w:link w:val="Akapitzlist"/>
    <w:uiPriority w:val="34"/>
    <w:rsid w:val="007071F1"/>
  </w:style>
  <w:style w:type="character" w:customStyle="1" w:styleId="Nagwek3Znak">
    <w:name w:val="Nagłówek 3 Znak"/>
    <w:basedOn w:val="Domylnaczcionkaakapitu"/>
    <w:link w:val="Nagwek3"/>
    <w:uiPriority w:val="9"/>
    <w:rsid w:val="007071F1"/>
    <w:rPr>
      <w:rFonts w:asciiTheme="majorHAnsi" w:eastAsiaTheme="majorEastAsia" w:hAnsiTheme="majorHAnsi" w:cstheme="majorBidi"/>
      <w:color w:val="1F4D78" w:themeColor="accent1" w:themeShade="7F"/>
      <w:sz w:val="24"/>
      <w:szCs w:val="24"/>
      <w:lang w:eastAsia="pl-PL"/>
    </w:rPr>
  </w:style>
  <w:style w:type="paragraph" w:customStyle="1" w:styleId="Default">
    <w:name w:val="Default"/>
    <w:rsid w:val="006C3AB9"/>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unhideWhenUsed/>
    <w:rsid w:val="001D5981"/>
    <w:pPr>
      <w:spacing w:after="0" w:line="240" w:lineRule="auto"/>
    </w:pPr>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1D5981"/>
    <w:rPr>
      <w:sz w:val="20"/>
      <w:szCs w:val="20"/>
    </w:rPr>
  </w:style>
  <w:style w:type="character" w:styleId="Odwoanieprzypisudolnego">
    <w:name w:val="footnote reference"/>
    <w:aliases w:val="Footnote Reference Number"/>
    <w:basedOn w:val="Domylnaczcionkaakapitu"/>
    <w:semiHidden/>
    <w:unhideWhenUsed/>
    <w:rsid w:val="001D5981"/>
    <w:rPr>
      <w:vertAlign w:val="superscript"/>
    </w:rPr>
  </w:style>
  <w:style w:type="character" w:styleId="Odwoaniedokomentarza">
    <w:name w:val="annotation reference"/>
    <w:basedOn w:val="Domylnaczcionkaakapitu"/>
    <w:uiPriority w:val="99"/>
    <w:semiHidden/>
    <w:unhideWhenUsed/>
    <w:rsid w:val="006A68EE"/>
    <w:rPr>
      <w:sz w:val="16"/>
      <w:szCs w:val="16"/>
    </w:rPr>
  </w:style>
  <w:style w:type="paragraph" w:styleId="Tekstkomentarza">
    <w:name w:val="annotation text"/>
    <w:basedOn w:val="Normalny"/>
    <w:link w:val="TekstkomentarzaZnak"/>
    <w:uiPriority w:val="99"/>
    <w:semiHidden/>
    <w:unhideWhenUsed/>
    <w:rsid w:val="006A68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68EE"/>
    <w:rPr>
      <w:sz w:val="20"/>
      <w:szCs w:val="20"/>
    </w:rPr>
  </w:style>
  <w:style w:type="paragraph" w:styleId="Tematkomentarza">
    <w:name w:val="annotation subject"/>
    <w:basedOn w:val="Tekstkomentarza"/>
    <w:next w:val="Tekstkomentarza"/>
    <w:link w:val="TematkomentarzaZnak"/>
    <w:uiPriority w:val="99"/>
    <w:semiHidden/>
    <w:unhideWhenUsed/>
    <w:rsid w:val="006A68EE"/>
    <w:rPr>
      <w:b/>
      <w:bCs/>
    </w:rPr>
  </w:style>
  <w:style w:type="character" w:customStyle="1" w:styleId="TematkomentarzaZnak">
    <w:name w:val="Temat komentarza Znak"/>
    <w:basedOn w:val="TekstkomentarzaZnak"/>
    <w:link w:val="Tematkomentarza"/>
    <w:uiPriority w:val="99"/>
    <w:semiHidden/>
    <w:rsid w:val="006A68EE"/>
    <w:rPr>
      <w:b/>
      <w:bCs/>
      <w:sz w:val="20"/>
      <w:szCs w:val="20"/>
    </w:rPr>
  </w:style>
  <w:style w:type="paragraph" w:styleId="Tekstdymka">
    <w:name w:val="Balloon Text"/>
    <w:basedOn w:val="Normalny"/>
    <w:link w:val="TekstdymkaZnak"/>
    <w:uiPriority w:val="99"/>
    <w:semiHidden/>
    <w:unhideWhenUsed/>
    <w:rsid w:val="006A68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68EE"/>
    <w:rPr>
      <w:rFonts w:ascii="Segoe UI" w:hAnsi="Segoe UI" w:cs="Segoe UI"/>
      <w:sz w:val="18"/>
      <w:szCs w:val="18"/>
    </w:rPr>
  </w:style>
  <w:style w:type="paragraph" w:styleId="Tekstpodstawowy3">
    <w:name w:val="Body Text 3"/>
    <w:basedOn w:val="Normalny"/>
    <w:link w:val="Tekstpodstawowy3Znak"/>
    <w:uiPriority w:val="99"/>
    <w:rsid w:val="00F701F1"/>
    <w:pPr>
      <w:spacing w:after="0" w:line="240" w:lineRule="auto"/>
      <w:jc w:val="both"/>
    </w:pPr>
    <w:rPr>
      <w:rFonts w:ascii="Arial" w:eastAsia="Times New Roman" w:hAnsi="Arial" w:cs="Arial"/>
      <w:sz w:val="24"/>
      <w:szCs w:val="24"/>
      <w:lang w:eastAsia="pl-PL"/>
    </w:rPr>
  </w:style>
  <w:style w:type="character" w:customStyle="1" w:styleId="Tekstpodstawowy3Znak">
    <w:name w:val="Tekst podstawowy 3 Znak"/>
    <w:basedOn w:val="Domylnaczcionkaakapitu"/>
    <w:link w:val="Tekstpodstawowy3"/>
    <w:uiPriority w:val="99"/>
    <w:rsid w:val="00F701F1"/>
    <w:rPr>
      <w:rFonts w:ascii="Arial" w:eastAsia="Times New Roman" w:hAnsi="Arial" w:cs="Arial"/>
      <w:sz w:val="24"/>
      <w:szCs w:val="24"/>
      <w:lang w:eastAsia="pl-PL"/>
    </w:rPr>
  </w:style>
  <w:style w:type="table" w:styleId="Tabela-Siatka">
    <w:name w:val="Table Grid"/>
    <w:basedOn w:val="Standardowy"/>
    <w:uiPriority w:val="39"/>
    <w:rsid w:val="0039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8C172B"/>
    <w:pPr>
      <w:widowControl w:val="0"/>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8C172B"/>
    <w:rPr>
      <w:rFonts w:ascii="Courier New" w:eastAsia="Times New Roman" w:hAnsi="Courier New" w:cs="Times New Roman"/>
      <w:sz w:val="20"/>
      <w:szCs w:val="20"/>
      <w:lang w:eastAsia="pl-PL"/>
    </w:rPr>
  </w:style>
  <w:style w:type="paragraph" w:customStyle="1" w:styleId="CM1">
    <w:name w:val="CM1"/>
    <w:basedOn w:val="Default"/>
    <w:next w:val="Default"/>
    <w:uiPriority w:val="99"/>
    <w:rsid w:val="001A666B"/>
    <w:rPr>
      <w:rFonts w:ascii="EUAlbertina" w:hAnsi="EUAlbertina" w:cstheme="minorBidi"/>
      <w:color w:val="auto"/>
    </w:rPr>
  </w:style>
  <w:style w:type="paragraph" w:customStyle="1" w:styleId="CM3">
    <w:name w:val="CM3"/>
    <w:basedOn w:val="Default"/>
    <w:next w:val="Default"/>
    <w:uiPriority w:val="99"/>
    <w:rsid w:val="001A666B"/>
    <w:rPr>
      <w:rFonts w:ascii="EUAlbertina" w:hAnsi="EUAlbertina" w:cstheme="minorBidi"/>
      <w:color w:val="auto"/>
    </w:rPr>
  </w:style>
  <w:style w:type="character" w:customStyle="1" w:styleId="txt-new">
    <w:name w:val="txt-new"/>
    <w:basedOn w:val="Domylnaczcionkaakapitu"/>
    <w:rsid w:val="006F47DB"/>
  </w:style>
  <w:style w:type="character" w:customStyle="1" w:styleId="luchili">
    <w:name w:val="luc_hili"/>
    <w:basedOn w:val="Domylnaczcionkaakapitu"/>
    <w:rsid w:val="006F47DB"/>
  </w:style>
  <w:style w:type="paragraph" w:styleId="Nagwek">
    <w:name w:val="header"/>
    <w:basedOn w:val="Normalny"/>
    <w:link w:val="NagwekZnak"/>
    <w:uiPriority w:val="99"/>
    <w:unhideWhenUsed/>
    <w:rsid w:val="00D614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417"/>
  </w:style>
  <w:style w:type="paragraph" w:styleId="Stopka">
    <w:name w:val="footer"/>
    <w:basedOn w:val="Normalny"/>
    <w:link w:val="StopkaZnak"/>
    <w:uiPriority w:val="99"/>
    <w:unhideWhenUsed/>
    <w:rsid w:val="00D614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8247">
      <w:bodyDiv w:val="1"/>
      <w:marLeft w:val="0"/>
      <w:marRight w:val="0"/>
      <w:marTop w:val="0"/>
      <w:marBottom w:val="0"/>
      <w:divBdr>
        <w:top w:val="none" w:sz="0" w:space="0" w:color="auto"/>
        <w:left w:val="none" w:sz="0" w:space="0" w:color="auto"/>
        <w:bottom w:val="none" w:sz="0" w:space="0" w:color="auto"/>
        <w:right w:val="none" w:sz="0" w:space="0" w:color="auto"/>
      </w:divBdr>
    </w:div>
    <w:div w:id="226914225">
      <w:bodyDiv w:val="1"/>
      <w:marLeft w:val="0"/>
      <w:marRight w:val="0"/>
      <w:marTop w:val="0"/>
      <w:marBottom w:val="0"/>
      <w:divBdr>
        <w:top w:val="none" w:sz="0" w:space="0" w:color="auto"/>
        <w:left w:val="none" w:sz="0" w:space="0" w:color="auto"/>
        <w:bottom w:val="none" w:sz="0" w:space="0" w:color="auto"/>
        <w:right w:val="none" w:sz="0" w:space="0" w:color="auto"/>
      </w:divBdr>
    </w:div>
    <w:div w:id="669409822">
      <w:bodyDiv w:val="1"/>
      <w:marLeft w:val="0"/>
      <w:marRight w:val="0"/>
      <w:marTop w:val="0"/>
      <w:marBottom w:val="0"/>
      <w:divBdr>
        <w:top w:val="none" w:sz="0" w:space="0" w:color="auto"/>
        <w:left w:val="none" w:sz="0" w:space="0" w:color="auto"/>
        <w:bottom w:val="none" w:sz="0" w:space="0" w:color="auto"/>
        <w:right w:val="none" w:sz="0" w:space="0" w:color="auto"/>
      </w:divBdr>
    </w:div>
    <w:div w:id="14194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4917D-89E2-4525-A8C4-E421020E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2639</Words>
  <Characters>15838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Barnak</dc:creator>
  <cp:keywords/>
  <dc:description/>
  <cp:lastModifiedBy>Barbara Radziwiłł-Wróbel</cp:lastModifiedBy>
  <cp:revision>48</cp:revision>
  <cp:lastPrinted>2015-08-18T05:38:00Z</cp:lastPrinted>
  <dcterms:created xsi:type="dcterms:W3CDTF">2015-08-20T11:41:00Z</dcterms:created>
  <dcterms:modified xsi:type="dcterms:W3CDTF">2015-09-21T15:01:00Z</dcterms:modified>
</cp:coreProperties>
</file>