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E5" w:rsidRDefault="003C28E5" w:rsidP="008C172B">
      <w:pPr>
        <w:spacing w:line="240" w:lineRule="auto"/>
        <w:jc w:val="center"/>
        <w:rPr>
          <w:b/>
        </w:rPr>
      </w:pPr>
      <w:r>
        <w:rPr>
          <w:b/>
          <w:noProof/>
          <w:lang w:eastAsia="pl-PL"/>
        </w:rPr>
        <w:drawing>
          <wp:anchor distT="0" distB="0" distL="114300" distR="114300" simplePos="0" relativeHeight="251658240" behindDoc="0" locked="0" layoutInCell="1" allowOverlap="1">
            <wp:simplePos x="0" y="0"/>
            <wp:positionH relativeFrom="margin">
              <wp:align>center</wp:align>
            </wp:positionH>
            <wp:positionV relativeFrom="paragraph">
              <wp:posOffset>-235585</wp:posOffset>
            </wp:positionV>
            <wp:extent cx="5762625" cy="981075"/>
            <wp:effectExtent l="19050" t="0" r="9525" b="0"/>
            <wp:wrapNone/>
            <wp:docPr id="1"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2625" cy="981075"/>
                    </a:xfrm>
                    <a:prstGeom prst="rect">
                      <a:avLst/>
                    </a:prstGeom>
                    <a:noFill/>
                    <a:ln w="9525">
                      <a:noFill/>
                      <a:miter lim="800000"/>
                      <a:headEnd/>
                      <a:tailEnd/>
                    </a:ln>
                  </pic:spPr>
                </pic:pic>
              </a:graphicData>
            </a:graphic>
          </wp:anchor>
        </w:drawing>
      </w:r>
    </w:p>
    <w:p w:rsidR="003C28E5" w:rsidRDefault="003C28E5" w:rsidP="008C172B">
      <w:pPr>
        <w:spacing w:line="240" w:lineRule="auto"/>
        <w:jc w:val="center"/>
        <w:rPr>
          <w:b/>
        </w:rPr>
      </w:pPr>
    </w:p>
    <w:p w:rsidR="003C28E5" w:rsidRDefault="003C28E5" w:rsidP="008C172B">
      <w:pPr>
        <w:spacing w:line="240" w:lineRule="auto"/>
        <w:jc w:val="center"/>
        <w:rPr>
          <w:b/>
        </w:rPr>
      </w:pPr>
    </w:p>
    <w:p w:rsidR="004B3CAE" w:rsidRDefault="004B3CAE" w:rsidP="004B3CAE">
      <w:pPr>
        <w:spacing w:after="0" w:line="240" w:lineRule="auto"/>
        <w:rPr>
          <w:b/>
          <w:sz w:val="20"/>
          <w:szCs w:val="20"/>
        </w:rPr>
      </w:pPr>
      <w:r w:rsidRPr="00896759">
        <w:rPr>
          <w:b/>
          <w:sz w:val="20"/>
          <w:szCs w:val="20"/>
        </w:rPr>
        <w:t xml:space="preserve">Załącznik nr </w:t>
      </w:r>
      <w:r>
        <w:rPr>
          <w:b/>
          <w:sz w:val="20"/>
          <w:szCs w:val="20"/>
        </w:rPr>
        <w:t>5</w:t>
      </w:r>
      <w:r w:rsidRPr="00896759">
        <w:rPr>
          <w:b/>
          <w:sz w:val="20"/>
          <w:szCs w:val="20"/>
        </w:rPr>
        <w:t xml:space="preserve"> do Regulaminu Konkursu</w:t>
      </w:r>
    </w:p>
    <w:p w:rsidR="004B3CAE" w:rsidRPr="00896759" w:rsidRDefault="004B3CAE" w:rsidP="004B3CAE">
      <w:pPr>
        <w:spacing w:after="0" w:line="240" w:lineRule="auto"/>
        <w:rPr>
          <w:b/>
          <w:sz w:val="20"/>
          <w:szCs w:val="20"/>
        </w:rPr>
      </w:pPr>
    </w:p>
    <w:p w:rsidR="00287411" w:rsidRDefault="00CE2C9D" w:rsidP="008C172B">
      <w:pPr>
        <w:spacing w:line="240" w:lineRule="auto"/>
        <w:jc w:val="center"/>
        <w:rPr>
          <w:b/>
        </w:rPr>
      </w:pPr>
      <w:r>
        <w:rPr>
          <w:b/>
        </w:rPr>
        <w:t>WYKAZ PRZYKŁADOWYCH</w:t>
      </w:r>
      <w:bookmarkStart w:id="0" w:name="_GoBack"/>
      <w:bookmarkEnd w:id="0"/>
      <w:r w:rsidR="008C172B" w:rsidRPr="008C172B">
        <w:rPr>
          <w:b/>
        </w:rPr>
        <w:t xml:space="preserve"> </w:t>
      </w:r>
      <w:r w:rsidR="003511C4">
        <w:rPr>
          <w:b/>
        </w:rPr>
        <w:t>KOSZTÓW</w:t>
      </w:r>
      <w:r w:rsidR="008C172B" w:rsidRPr="008C172B">
        <w:rPr>
          <w:b/>
        </w:rPr>
        <w:t xml:space="preserve"> KWALIFIKOWALNYCH</w:t>
      </w:r>
      <w:r w:rsidR="003C28E5">
        <w:rPr>
          <w:b/>
        </w:rPr>
        <w:t xml:space="preserve"> 1.2</w:t>
      </w:r>
      <w:r w:rsidR="00AA10F0">
        <w:rPr>
          <w:b/>
        </w:rPr>
        <w:t xml:space="preserve"> </w:t>
      </w:r>
      <w:r w:rsidR="003C28E5">
        <w:rPr>
          <w:b/>
        </w:rPr>
        <w:t>A</w:t>
      </w:r>
    </w:p>
    <w:p w:rsidR="00DD64CE" w:rsidRDefault="00DD64CE" w:rsidP="00DD64CE">
      <w:pPr>
        <w:spacing w:line="240" w:lineRule="auto"/>
        <w:jc w:val="both"/>
        <w:rPr>
          <w:rFonts w:ascii="Calibri" w:hAnsi="Calibri"/>
        </w:rPr>
      </w:pPr>
      <w:r>
        <w:rPr>
          <w:rFonts w:ascii="Calibri" w:hAnsi="Calibri"/>
        </w:rPr>
        <w:t xml:space="preserve">Wykaz z uwagi na rozbudowane zapisy w tej kwestii nie zawiera wszystkich szczegółowych uregulowań odnoszących się do określonego wydatku. W takim przypadku beneficjent zostanie odesłany do odpowiedniego dokumentu.  </w:t>
      </w:r>
    </w:p>
    <w:p w:rsidR="00DD64CE" w:rsidRDefault="00DD64CE" w:rsidP="00DD64CE">
      <w:pPr>
        <w:jc w:val="both"/>
        <w:rPr>
          <w:rFonts w:ascii="Calibri" w:hAnsi="Calibri"/>
        </w:rPr>
      </w:pPr>
      <w:r>
        <w:rPr>
          <w:rFonts w:ascii="Calibri" w:hAnsi="Calibri"/>
        </w:rPr>
        <w:t>Wykaz wydatków kwalifikowalnych został przygotowany na podstawie:</w:t>
      </w:r>
    </w:p>
    <w:p w:rsidR="00DD64CE" w:rsidRPr="001A666B" w:rsidRDefault="00DD64CE" w:rsidP="005F692F">
      <w:pPr>
        <w:pStyle w:val="Default"/>
        <w:numPr>
          <w:ilvl w:val="0"/>
          <w:numId w:val="26"/>
        </w:numPr>
        <w:ind w:left="426" w:hanging="426"/>
        <w:jc w:val="both"/>
        <w:rPr>
          <w:rFonts w:asciiTheme="minorHAnsi" w:hAnsiTheme="minorHAnsi" w:cs="EUAlbertina"/>
          <w:sz w:val="22"/>
          <w:szCs w:val="22"/>
        </w:rPr>
      </w:pPr>
      <w:r w:rsidRPr="001A666B">
        <w:rPr>
          <w:rFonts w:asciiTheme="minorHAnsi" w:hAnsiTheme="minorHAnsi"/>
          <w:sz w:val="22"/>
          <w:szCs w:val="22"/>
        </w:rPr>
        <w:t xml:space="preserve">Rozporządzenia Parlamentu  Europejskiego  i  Rady  (UE) nr 1303/2013 z dnia 17 grudnia 2013 r. </w:t>
      </w:r>
      <w:r w:rsidR="001A666B" w:rsidRPr="001A666B">
        <w:rPr>
          <w:rFonts w:asciiTheme="minorHAnsi" w:hAnsiTheme="minorHAnsi" w:cs="EUAlbertina"/>
          <w:bCs/>
          <w:sz w:val="22"/>
          <w:szCs w:val="22"/>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1A666B">
        <w:rPr>
          <w:rFonts w:asciiTheme="minorHAnsi" w:hAnsiTheme="minorHAnsi" w:cs="EUAlbertina"/>
          <w:bCs/>
          <w:sz w:val="22"/>
          <w:szCs w:val="22"/>
        </w:rPr>
        <w:t>,</w:t>
      </w:r>
    </w:p>
    <w:p w:rsidR="00DD64CE" w:rsidRPr="001A666B" w:rsidRDefault="00DD64CE" w:rsidP="005F692F">
      <w:pPr>
        <w:pStyle w:val="Akapitzlist"/>
        <w:numPr>
          <w:ilvl w:val="0"/>
          <w:numId w:val="26"/>
        </w:numPr>
        <w:autoSpaceDE w:val="0"/>
        <w:autoSpaceDN w:val="0"/>
        <w:adjustRightInd w:val="0"/>
        <w:spacing w:after="0" w:line="240" w:lineRule="auto"/>
        <w:ind w:left="426" w:hanging="426"/>
        <w:jc w:val="both"/>
      </w:pPr>
      <w:r w:rsidRPr="001A666B">
        <w:t xml:space="preserve">Rozporządzenia Komisji (UE) Nr 651/2014 z dnia 17 czerwca 2014 r. </w:t>
      </w:r>
      <w:r w:rsidR="001A666B" w:rsidRPr="001A666B">
        <w:rPr>
          <w:rFonts w:cs="EUAlbertina-Bold"/>
          <w:bCs/>
        </w:rPr>
        <w:t>uznające niektóre rodzaje pomocy za zgodne z rynkiem wewnętrznym w zastosowaniu art. 107 i 108 Traktatu</w:t>
      </w:r>
      <w:r w:rsidR="001A666B">
        <w:rPr>
          <w:rFonts w:cs="EUAlbertina-Bold"/>
          <w:bCs/>
        </w:rPr>
        <w:t>,</w:t>
      </w:r>
    </w:p>
    <w:p w:rsidR="00DD64CE" w:rsidRPr="00BD3A80" w:rsidRDefault="00DD64CE" w:rsidP="005F692F">
      <w:pPr>
        <w:pStyle w:val="Akapitzlist"/>
        <w:numPr>
          <w:ilvl w:val="0"/>
          <w:numId w:val="26"/>
        </w:numPr>
        <w:ind w:left="426" w:hanging="426"/>
        <w:jc w:val="both"/>
        <w:rPr>
          <w:rFonts w:ascii="Calibri" w:hAnsi="Calibri"/>
        </w:rPr>
      </w:pPr>
      <w:r w:rsidRPr="00BD3A80">
        <w:rPr>
          <w:rFonts w:ascii="Calibri" w:hAnsi="Calibri"/>
        </w:rPr>
        <w:t xml:space="preserve">Wytycznych w zakresie kwalifikowalności wydatków w ramach Europejskiego Funduszu Rozwoju Regionalnego, Europejskiego Funduszu Społecznego oraz Funduszu Spójności na lata 2014-2020 z dnia </w:t>
      </w:r>
      <w:r w:rsidR="001A666B" w:rsidRPr="00BD3A80">
        <w:rPr>
          <w:rFonts w:ascii="Calibri" w:hAnsi="Calibri"/>
        </w:rPr>
        <w:t>10 kwietnia 2015r.,</w:t>
      </w:r>
    </w:p>
    <w:p w:rsidR="00805146" w:rsidRDefault="00805146" w:rsidP="00805146">
      <w:pPr>
        <w:pStyle w:val="Akapitzlist"/>
        <w:numPr>
          <w:ilvl w:val="0"/>
          <w:numId w:val="26"/>
        </w:numPr>
        <w:ind w:left="426" w:hanging="426"/>
        <w:jc w:val="both"/>
        <w:rPr>
          <w:rFonts w:ascii="Calibri" w:hAnsi="Calibri"/>
        </w:rPr>
      </w:pPr>
      <w:r>
        <w:rPr>
          <w:rFonts w:ascii="Calibri" w:hAnsi="Calibri"/>
        </w:rPr>
        <w:t xml:space="preserve">Zał. nr 6 do </w:t>
      </w:r>
      <w:r>
        <w:t>Szcz</w:t>
      </w:r>
      <w:r w:rsidR="004B3CAE">
        <w:t>egółowego Opisu Osi P</w:t>
      </w:r>
      <w:r>
        <w:t>riorytetowych RPO WD 2014-2020,</w:t>
      </w:r>
    </w:p>
    <w:p w:rsidR="00805146" w:rsidRDefault="00805146" w:rsidP="00805146">
      <w:pPr>
        <w:pStyle w:val="Akapitzlist"/>
        <w:numPr>
          <w:ilvl w:val="0"/>
          <w:numId w:val="26"/>
        </w:numPr>
        <w:ind w:left="426" w:hanging="426"/>
        <w:jc w:val="both"/>
        <w:rPr>
          <w:rFonts w:ascii="Calibri" w:hAnsi="Calibri"/>
        </w:rPr>
      </w:pPr>
      <w:r w:rsidRPr="00843CCE">
        <w:rPr>
          <w:rFonts w:ascii="Calibri" w:hAnsi="Calibri"/>
        </w:rPr>
        <w:t xml:space="preserve">Zał. </w:t>
      </w:r>
      <w:r w:rsidR="009608DE" w:rsidRPr="00843CCE">
        <w:rPr>
          <w:rFonts w:ascii="Calibri" w:hAnsi="Calibri"/>
        </w:rPr>
        <w:t>N</w:t>
      </w:r>
      <w:r w:rsidRPr="00843CCE">
        <w:rPr>
          <w:rFonts w:ascii="Calibri" w:hAnsi="Calibri"/>
        </w:rPr>
        <w:t>r</w:t>
      </w:r>
      <w:r w:rsidR="009608DE">
        <w:rPr>
          <w:rFonts w:ascii="Calibri" w:hAnsi="Calibri"/>
        </w:rPr>
        <w:t xml:space="preserve"> 10</w:t>
      </w:r>
      <w:r w:rsidRPr="00843CCE">
        <w:rPr>
          <w:rFonts w:ascii="Calibri" w:hAnsi="Calibri"/>
        </w:rPr>
        <w:t xml:space="preserve"> do regulaminu konkursu </w:t>
      </w:r>
      <w:r w:rsidR="00F91345">
        <w:rPr>
          <w:rFonts w:ascii="Calibri" w:hAnsi="Calibri"/>
        </w:rPr>
        <w:t>„</w:t>
      </w:r>
      <w:r w:rsidRPr="00843CCE">
        <w:rPr>
          <w:rFonts w:ascii="Calibri" w:hAnsi="Calibri"/>
        </w:rPr>
        <w:t>Zasady ob</w:t>
      </w:r>
      <w:r w:rsidR="00F91345">
        <w:rPr>
          <w:rFonts w:ascii="Calibri" w:hAnsi="Calibri"/>
        </w:rPr>
        <w:t xml:space="preserve">owiązujące podczas dokonywania </w:t>
      </w:r>
      <w:r w:rsidRPr="00843CCE">
        <w:rPr>
          <w:rFonts w:ascii="Calibri" w:hAnsi="Calibri"/>
        </w:rPr>
        <w:t>zamówień przy realizacji dostaw, usług i robót budowlanych w ramach Projektu</w:t>
      </w:r>
      <w:r w:rsidR="00F91345">
        <w:rPr>
          <w:rFonts w:ascii="Calibri" w:hAnsi="Calibri"/>
        </w:rPr>
        <w:t>”.</w:t>
      </w:r>
    </w:p>
    <w:p w:rsidR="00805146" w:rsidRPr="00843CCE" w:rsidRDefault="00805146" w:rsidP="00805146">
      <w:pPr>
        <w:pStyle w:val="Akapitzlist"/>
        <w:numPr>
          <w:ilvl w:val="0"/>
          <w:numId w:val="26"/>
        </w:numPr>
        <w:ind w:left="426" w:hanging="426"/>
        <w:jc w:val="both"/>
        <w:rPr>
          <w:rFonts w:ascii="Calibri" w:hAnsi="Calibri"/>
        </w:rPr>
      </w:pPr>
      <w:r w:rsidRPr="00843CCE">
        <w:rPr>
          <w:rFonts w:ascii="Calibri" w:hAnsi="Calibri"/>
        </w:rPr>
        <w:t xml:space="preserve">Zał. </w:t>
      </w:r>
      <w:r w:rsidR="00E26D82" w:rsidRPr="00843CCE">
        <w:rPr>
          <w:rFonts w:ascii="Calibri" w:hAnsi="Calibri"/>
        </w:rPr>
        <w:t>N</w:t>
      </w:r>
      <w:r w:rsidRPr="00843CCE">
        <w:rPr>
          <w:rFonts w:ascii="Calibri" w:hAnsi="Calibri"/>
        </w:rPr>
        <w:t>r</w:t>
      </w:r>
      <w:r w:rsidR="00E26D82">
        <w:rPr>
          <w:rFonts w:ascii="Calibri" w:hAnsi="Calibri"/>
        </w:rPr>
        <w:t xml:space="preserve"> 9 </w:t>
      </w:r>
      <w:r w:rsidR="00E26D82" w:rsidRPr="00843CCE">
        <w:rPr>
          <w:rFonts w:ascii="Calibri" w:hAnsi="Calibri"/>
        </w:rPr>
        <w:t>do regulaminu konkursu</w:t>
      </w:r>
      <w:r w:rsidRPr="00843CCE">
        <w:rPr>
          <w:bCs/>
          <w:lang w:eastAsia="pl-PL"/>
        </w:rPr>
        <w:t xml:space="preserve"> „Podręcznik wnioskodawcy i beneficjenta programów polityki spójności 2014-2020 w zakresie informacji i promocji”</w:t>
      </w:r>
    </w:p>
    <w:p w:rsidR="00DA67CD" w:rsidRDefault="00DA67CD" w:rsidP="008C172B">
      <w:pPr>
        <w:spacing w:line="240" w:lineRule="auto"/>
        <w:rPr>
          <w:b/>
        </w:rPr>
      </w:pPr>
    </w:p>
    <w:p w:rsidR="008C172B" w:rsidRDefault="008C172B" w:rsidP="008C172B">
      <w:pPr>
        <w:pStyle w:val="Zwykytekst"/>
        <w:jc w:val="both"/>
        <w:rPr>
          <w:rFonts w:ascii="Calibri" w:hAnsi="Calibri"/>
          <w:b/>
          <w:sz w:val="22"/>
        </w:rPr>
      </w:pPr>
      <w:r w:rsidRPr="00E032C2">
        <w:rPr>
          <w:rFonts w:ascii="Calibri" w:hAnsi="Calibri"/>
          <w:b/>
          <w:sz w:val="22"/>
        </w:rPr>
        <w:t>Do wydatków kwalifikujących się do objęcia wsparciem zalicza się:</w:t>
      </w:r>
    </w:p>
    <w:p w:rsidR="008C172B" w:rsidRPr="00E032C2" w:rsidRDefault="008C172B" w:rsidP="008C172B">
      <w:pPr>
        <w:pStyle w:val="Zwykytekst"/>
        <w:jc w:val="both"/>
        <w:rPr>
          <w:rFonts w:ascii="Calibri" w:hAnsi="Calibri"/>
          <w:b/>
          <w:sz w:val="22"/>
        </w:rPr>
      </w:pPr>
    </w:p>
    <w:p w:rsidR="008C172B" w:rsidRDefault="008C172B" w:rsidP="0090111E">
      <w:pPr>
        <w:pStyle w:val="Akapitzlist"/>
        <w:numPr>
          <w:ilvl w:val="0"/>
          <w:numId w:val="21"/>
        </w:numPr>
        <w:spacing w:line="240" w:lineRule="auto"/>
        <w:ind w:left="426" w:hanging="426"/>
        <w:jc w:val="both"/>
        <w:rPr>
          <w:b/>
        </w:rPr>
      </w:pPr>
      <w:r>
        <w:rPr>
          <w:b/>
        </w:rPr>
        <w:t>Koszty personelu realizującego projekt w tym:</w:t>
      </w:r>
    </w:p>
    <w:p w:rsidR="008C172B" w:rsidRDefault="008C172B" w:rsidP="0090111E">
      <w:pPr>
        <w:pStyle w:val="Akapitzlist"/>
        <w:numPr>
          <w:ilvl w:val="0"/>
          <w:numId w:val="22"/>
        </w:numPr>
        <w:spacing w:line="240" w:lineRule="auto"/>
        <w:ind w:left="720" w:hanging="294"/>
        <w:jc w:val="both"/>
      </w:pPr>
      <w:r>
        <w:t>Koszty wynagrodzeń badaczy, techników i pozostałych pracowników pomocniczych w jakim są oni zatrudnieni przy danym projekcie,</w:t>
      </w:r>
    </w:p>
    <w:p w:rsidR="00520122" w:rsidRDefault="008C172B" w:rsidP="00520122">
      <w:pPr>
        <w:pStyle w:val="Akapitzlist"/>
        <w:numPr>
          <w:ilvl w:val="0"/>
          <w:numId w:val="22"/>
        </w:numPr>
        <w:spacing w:line="240" w:lineRule="auto"/>
        <w:ind w:left="720" w:hanging="294"/>
        <w:jc w:val="both"/>
      </w:pPr>
      <w:r>
        <w:t xml:space="preserve">Koszty osobowe związane z zarządzaniem projektu </w:t>
      </w:r>
      <w:r w:rsidR="00C11A46" w:rsidRPr="00C11A46">
        <w:t>nie przekraczające 1% całkowitych wydatków kwalifikowalnych w ramach projektu (2% dla projektów o wartości poniżej 500 000 PLN wydatków kwalifikowalnych) i/lub nie przekraczające 5000 PLN brutto</w:t>
      </w:r>
      <w:r w:rsidR="000B2CA3">
        <w:rPr>
          <w:rStyle w:val="Odwoanieprzypisudolnego"/>
        </w:rPr>
        <w:footnoteReference w:id="1"/>
      </w:r>
      <w:r w:rsidR="00C11A46" w:rsidRPr="00C11A46">
        <w:t xml:space="preserve"> miesięcznie bez względu na liczbę osób.</w:t>
      </w:r>
    </w:p>
    <w:p w:rsidR="00520122" w:rsidRPr="008C172B" w:rsidRDefault="00520122" w:rsidP="00AC586C">
      <w:pPr>
        <w:pStyle w:val="Akapitzlist"/>
        <w:spacing w:line="240" w:lineRule="auto"/>
        <w:jc w:val="both"/>
      </w:pPr>
      <w:r w:rsidRPr="00520122">
        <w:rPr>
          <w:szCs w:val="24"/>
        </w:rPr>
        <w:t>W przypadku gdy zarządzanie projektem jest wykonywane przez podmiot wybrany zgodnie z zasadą konkurencyjności/ ustawą Prawo zamówień publicznych, wydatki dotyczące jego wynagrodzenia są kwalifikowalne w takiej wysokości, jaka wynika z podpisanej umowy.</w:t>
      </w:r>
    </w:p>
    <w:p w:rsidR="00C11A46" w:rsidRPr="00C11A46" w:rsidRDefault="00C11A46" w:rsidP="0090111E">
      <w:pPr>
        <w:pStyle w:val="Default"/>
        <w:jc w:val="both"/>
        <w:rPr>
          <w:rFonts w:asciiTheme="minorHAnsi" w:hAnsiTheme="minorHAnsi" w:cstheme="minorBidi"/>
          <w:color w:val="auto"/>
          <w:sz w:val="22"/>
          <w:szCs w:val="22"/>
        </w:rPr>
      </w:pPr>
      <w:r w:rsidRPr="00C11A46">
        <w:rPr>
          <w:rFonts w:asciiTheme="minorHAnsi" w:hAnsiTheme="minorHAnsi" w:cstheme="minorBidi"/>
          <w:color w:val="auto"/>
          <w:sz w:val="22"/>
          <w:szCs w:val="22"/>
        </w:rPr>
        <w:t xml:space="preserve">Kwalifikowalnymi  składnikami  wynagrodzenia  </w:t>
      </w:r>
      <w:r>
        <w:rPr>
          <w:rFonts w:asciiTheme="minorHAnsi" w:hAnsiTheme="minorHAnsi" w:cstheme="minorBidi"/>
          <w:color w:val="auto"/>
          <w:sz w:val="22"/>
          <w:szCs w:val="22"/>
        </w:rPr>
        <w:t xml:space="preserve">personelu  są w  szczególności </w:t>
      </w:r>
      <w:r w:rsidRPr="00C11A46">
        <w:rPr>
          <w:rFonts w:asciiTheme="minorHAnsi" w:hAnsiTheme="minorHAnsi" w:cstheme="minorBidi"/>
          <w:color w:val="auto"/>
          <w:sz w:val="22"/>
          <w:szCs w:val="22"/>
        </w:rPr>
        <w:t>wynagrodzenie  brutto,  składki  pracodawcy  na  ubezpie</w:t>
      </w:r>
      <w:r>
        <w:rPr>
          <w:rFonts w:asciiTheme="minorHAnsi" w:hAnsiTheme="minorHAnsi" w:cstheme="minorBidi"/>
          <w:color w:val="auto"/>
          <w:sz w:val="22"/>
          <w:szCs w:val="22"/>
        </w:rPr>
        <w:t xml:space="preserve">czenia  społeczne,  zdrowotne,  </w:t>
      </w:r>
      <w:r w:rsidRPr="00C11A46">
        <w:rPr>
          <w:rFonts w:asciiTheme="minorHAnsi" w:hAnsiTheme="minorHAnsi" w:cstheme="minorBidi"/>
          <w:color w:val="auto"/>
          <w:sz w:val="22"/>
          <w:szCs w:val="22"/>
        </w:rPr>
        <w:t xml:space="preserve">składki  na  Fundusz  Pracy,  Fundusz  Gwarantowanych </w:t>
      </w:r>
      <w:r>
        <w:rPr>
          <w:rFonts w:asciiTheme="minorHAnsi" w:hAnsiTheme="minorHAnsi" w:cstheme="minorBidi"/>
          <w:color w:val="auto"/>
          <w:sz w:val="22"/>
          <w:szCs w:val="22"/>
        </w:rPr>
        <w:t xml:space="preserve"> Świadczeń Pracowniczych  oraz  </w:t>
      </w:r>
      <w:r w:rsidRPr="00C11A46">
        <w:rPr>
          <w:rFonts w:asciiTheme="minorHAnsi" w:hAnsiTheme="minorHAnsi" w:cstheme="minorBidi"/>
          <w:color w:val="auto"/>
          <w:sz w:val="22"/>
          <w:szCs w:val="22"/>
        </w:rPr>
        <w:t xml:space="preserve">wydatki  ponoszone  na  Pracowniczy  </w:t>
      </w:r>
      <w:r w:rsidRPr="00C11A46">
        <w:rPr>
          <w:rFonts w:asciiTheme="minorHAnsi" w:hAnsiTheme="minorHAnsi" w:cstheme="minorBidi"/>
          <w:color w:val="auto"/>
          <w:sz w:val="22"/>
          <w:szCs w:val="22"/>
        </w:rPr>
        <w:lastRenderedPageBreak/>
        <w:t>Program  Emeryt</w:t>
      </w:r>
      <w:r>
        <w:rPr>
          <w:rFonts w:asciiTheme="minorHAnsi" w:hAnsiTheme="minorHAnsi" w:cstheme="minorBidi"/>
          <w:color w:val="auto"/>
          <w:sz w:val="22"/>
          <w:szCs w:val="22"/>
        </w:rPr>
        <w:t xml:space="preserve">alny zgodnie  z ustawą z  dnia  </w:t>
      </w:r>
      <w:r w:rsidRPr="00C11A46">
        <w:rPr>
          <w:rFonts w:asciiTheme="minorHAnsi" w:hAnsiTheme="minorHAnsi" w:cstheme="minorBidi"/>
          <w:color w:val="auto"/>
          <w:sz w:val="22"/>
          <w:szCs w:val="22"/>
        </w:rPr>
        <w:t xml:space="preserve">20  kwietnia  2004  r.  o  pracowniczych  programach  emerytalnych  (Dz.  U.  z  2014 </w:t>
      </w:r>
      <w:r>
        <w:rPr>
          <w:rFonts w:asciiTheme="minorHAnsi" w:hAnsiTheme="minorHAnsi" w:cstheme="minorBidi"/>
          <w:color w:val="auto"/>
          <w:sz w:val="22"/>
          <w:szCs w:val="22"/>
        </w:rPr>
        <w:t xml:space="preserve"> r,  poz. </w:t>
      </w:r>
      <w:r w:rsidRPr="00C11A46">
        <w:rPr>
          <w:rFonts w:asciiTheme="minorHAnsi" w:hAnsiTheme="minorHAnsi" w:cstheme="minorBidi"/>
          <w:color w:val="auto"/>
          <w:sz w:val="22"/>
          <w:szCs w:val="22"/>
        </w:rPr>
        <w:t>710).</w:t>
      </w:r>
    </w:p>
    <w:p w:rsidR="00C11A46" w:rsidRDefault="00D505B2" w:rsidP="0090111E">
      <w:pPr>
        <w:pStyle w:val="Default"/>
        <w:jc w:val="both"/>
        <w:rPr>
          <w:rFonts w:asciiTheme="minorHAnsi" w:hAnsiTheme="minorHAnsi"/>
          <w:sz w:val="22"/>
          <w:szCs w:val="22"/>
        </w:rPr>
      </w:pPr>
      <w:r w:rsidRPr="00D505B2">
        <w:rPr>
          <w:rFonts w:asciiTheme="minorHAnsi" w:hAnsiTheme="minorHAnsi"/>
          <w:sz w:val="22"/>
          <w:szCs w:val="22"/>
        </w:rPr>
        <w:t>Dodatkowe  wynagrodzenie  roczne  personelu  projektu  je</w:t>
      </w:r>
      <w:r>
        <w:rPr>
          <w:rFonts w:asciiTheme="minorHAnsi" w:hAnsiTheme="minorHAnsi"/>
          <w:sz w:val="22"/>
          <w:szCs w:val="22"/>
        </w:rPr>
        <w:t xml:space="preserve">st  kwalifikowalne  wyłącznie,  </w:t>
      </w:r>
      <w:r w:rsidRPr="00D505B2">
        <w:rPr>
          <w:rFonts w:asciiTheme="minorHAnsi" w:hAnsiTheme="minorHAnsi"/>
          <w:sz w:val="22"/>
          <w:szCs w:val="22"/>
        </w:rPr>
        <w:t>je</w:t>
      </w:r>
      <w:r>
        <w:rPr>
          <w:rFonts w:asciiTheme="minorHAnsi" w:hAnsiTheme="minorHAnsi"/>
          <w:sz w:val="22"/>
          <w:szCs w:val="22"/>
        </w:rPr>
        <w:t>ż</w:t>
      </w:r>
      <w:r w:rsidRPr="00D505B2">
        <w:rPr>
          <w:rFonts w:asciiTheme="minorHAnsi" w:hAnsiTheme="minorHAnsi"/>
          <w:sz w:val="22"/>
          <w:szCs w:val="22"/>
        </w:rPr>
        <w:t>eli</w:t>
      </w:r>
      <w:r>
        <w:rPr>
          <w:rFonts w:asciiTheme="minorHAnsi" w:hAnsiTheme="minorHAnsi"/>
          <w:sz w:val="22"/>
          <w:szCs w:val="22"/>
        </w:rPr>
        <w:t xml:space="preserve"> wynika z przepisów prawa pracy </w:t>
      </w:r>
      <w:r w:rsidRPr="00D505B2">
        <w:rPr>
          <w:rFonts w:asciiTheme="minorHAnsi" w:hAnsiTheme="minorHAnsi"/>
          <w:sz w:val="22"/>
          <w:szCs w:val="22"/>
        </w:rPr>
        <w:t>i odpowiada pro</w:t>
      </w:r>
      <w:r>
        <w:rPr>
          <w:rFonts w:asciiTheme="minorHAnsi" w:hAnsiTheme="minorHAnsi"/>
          <w:sz w:val="22"/>
          <w:szCs w:val="22"/>
        </w:rPr>
        <w:t xml:space="preserve">porcji, w której wynagrodzenie  </w:t>
      </w:r>
      <w:r w:rsidRPr="00D505B2">
        <w:rPr>
          <w:rFonts w:asciiTheme="minorHAnsi" w:hAnsiTheme="minorHAnsi"/>
          <w:sz w:val="22"/>
          <w:szCs w:val="22"/>
        </w:rPr>
        <w:t>zasadnicze będące podstawą</w:t>
      </w:r>
      <w:r w:rsidR="00C72FB8">
        <w:rPr>
          <w:rFonts w:asciiTheme="minorHAnsi" w:hAnsiTheme="minorHAnsi"/>
          <w:sz w:val="22"/>
          <w:szCs w:val="22"/>
        </w:rPr>
        <w:t xml:space="preserve"> </w:t>
      </w:r>
      <w:r w:rsidRPr="00D505B2">
        <w:rPr>
          <w:rFonts w:asciiTheme="minorHAnsi" w:hAnsiTheme="minorHAnsi"/>
          <w:sz w:val="22"/>
          <w:szCs w:val="22"/>
        </w:rPr>
        <w:t>jego naliczenia jest rozliczane w ramach projektu.</w:t>
      </w:r>
    </w:p>
    <w:p w:rsidR="00D505B2" w:rsidRDefault="00D505B2" w:rsidP="0090111E">
      <w:pPr>
        <w:pStyle w:val="Default"/>
        <w:jc w:val="both"/>
        <w:rPr>
          <w:rFonts w:asciiTheme="minorHAnsi" w:hAnsiTheme="minorHAnsi"/>
          <w:sz w:val="22"/>
          <w:szCs w:val="22"/>
        </w:rPr>
      </w:pPr>
    </w:p>
    <w:p w:rsidR="00C11A46" w:rsidRDefault="00C11A46" w:rsidP="0090111E">
      <w:pPr>
        <w:pStyle w:val="Default"/>
        <w:jc w:val="both"/>
        <w:rPr>
          <w:rFonts w:asciiTheme="minorHAnsi" w:hAnsiTheme="minorHAnsi"/>
          <w:sz w:val="22"/>
          <w:szCs w:val="22"/>
        </w:rPr>
      </w:pPr>
      <w:r w:rsidRPr="00C11A46">
        <w:rPr>
          <w:rFonts w:asciiTheme="minorHAnsi" w:hAnsiTheme="minorHAnsi"/>
          <w:sz w:val="22"/>
          <w:szCs w:val="22"/>
        </w:rPr>
        <w:t xml:space="preserve">Wydatki  na  wynagrodzenie  personelu  są kwalifikowalne  pod  warunkiem,  </w:t>
      </w:r>
      <w:r>
        <w:rPr>
          <w:rFonts w:asciiTheme="minorHAnsi" w:hAnsiTheme="minorHAnsi"/>
          <w:sz w:val="22"/>
          <w:szCs w:val="22"/>
        </w:rPr>
        <w:t xml:space="preserve">że  ich </w:t>
      </w:r>
      <w:r w:rsidRPr="00C11A46">
        <w:rPr>
          <w:rFonts w:asciiTheme="minorHAnsi" w:hAnsiTheme="minorHAnsi"/>
          <w:sz w:val="22"/>
          <w:szCs w:val="22"/>
        </w:rPr>
        <w:t xml:space="preserve">wysokość odpowiada  stawkom  faktycznie  stosowanym  u  </w:t>
      </w:r>
      <w:r>
        <w:rPr>
          <w:rFonts w:asciiTheme="minorHAnsi" w:hAnsiTheme="minorHAnsi"/>
          <w:sz w:val="22"/>
          <w:szCs w:val="22"/>
        </w:rPr>
        <w:t xml:space="preserve">beneficjenta  poza  projektami </w:t>
      </w:r>
      <w:r w:rsidRPr="00C11A46">
        <w:rPr>
          <w:rFonts w:asciiTheme="minorHAnsi" w:hAnsiTheme="minorHAnsi"/>
          <w:sz w:val="22"/>
          <w:szCs w:val="22"/>
        </w:rPr>
        <w:t xml:space="preserve">współfinansowanymi z funduszy strukturalnych i FS na analogicznych </w:t>
      </w:r>
      <w:r>
        <w:rPr>
          <w:rFonts w:asciiTheme="minorHAnsi" w:hAnsiTheme="minorHAnsi"/>
          <w:sz w:val="22"/>
          <w:szCs w:val="22"/>
        </w:rPr>
        <w:t xml:space="preserve">stanowiskach lub  </w:t>
      </w:r>
      <w:r w:rsidRPr="00C11A46">
        <w:rPr>
          <w:rFonts w:asciiTheme="minorHAnsi" w:hAnsiTheme="minorHAnsi"/>
          <w:sz w:val="22"/>
          <w:szCs w:val="22"/>
        </w:rPr>
        <w:t>na  stanowiskach  wymagających  analogicznych  kwal</w:t>
      </w:r>
      <w:r>
        <w:rPr>
          <w:rFonts w:asciiTheme="minorHAnsi" w:hAnsiTheme="minorHAnsi"/>
          <w:sz w:val="22"/>
          <w:szCs w:val="22"/>
        </w:rPr>
        <w:t xml:space="preserve">ifikacji.  Dotyczy  to  również </w:t>
      </w:r>
      <w:r w:rsidRPr="00C11A46">
        <w:rPr>
          <w:rFonts w:asciiTheme="minorHAnsi" w:hAnsiTheme="minorHAnsi"/>
          <w:sz w:val="22"/>
          <w:szCs w:val="22"/>
        </w:rPr>
        <w:t>pozostałych składników wynagrodzenia personelu, w tym nagród i premii.</w:t>
      </w:r>
      <w:r w:rsidR="005F692F">
        <w:rPr>
          <w:rFonts w:asciiTheme="minorHAnsi" w:hAnsiTheme="minorHAnsi"/>
          <w:sz w:val="22"/>
          <w:szCs w:val="22"/>
        </w:rPr>
        <w:t xml:space="preserve"> Przy pracownikach nowo zatrudnianych obowiązują stawki rynkowe.</w:t>
      </w:r>
    </w:p>
    <w:p w:rsidR="00815531" w:rsidRPr="00143514" w:rsidRDefault="00815531" w:rsidP="0090111E">
      <w:pPr>
        <w:pStyle w:val="Default"/>
        <w:jc w:val="both"/>
        <w:rPr>
          <w:rFonts w:asciiTheme="minorHAnsi" w:hAnsiTheme="minorHAnsi"/>
          <w:sz w:val="22"/>
          <w:szCs w:val="22"/>
        </w:rPr>
      </w:pPr>
    </w:p>
    <w:p w:rsidR="00815531" w:rsidRPr="002A5B4B" w:rsidRDefault="00815531" w:rsidP="0090111E">
      <w:pPr>
        <w:pStyle w:val="Default"/>
        <w:jc w:val="both"/>
        <w:rPr>
          <w:rFonts w:asciiTheme="minorHAnsi" w:hAnsiTheme="minorHAnsi"/>
          <w:b/>
          <w:sz w:val="22"/>
          <w:szCs w:val="22"/>
        </w:rPr>
      </w:pPr>
      <w:r w:rsidRPr="002A5B4B">
        <w:rPr>
          <w:rFonts w:asciiTheme="minorHAnsi" w:hAnsiTheme="minorHAnsi"/>
          <w:b/>
          <w:sz w:val="22"/>
          <w:szCs w:val="22"/>
        </w:rPr>
        <w:t xml:space="preserve">Wydatki związane z zaangażowaniem osoby wykonującej zadania w projekcie lub projektach są kwalifikowane o ile: </w:t>
      </w:r>
    </w:p>
    <w:p w:rsidR="00815531" w:rsidRPr="00143514" w:rsidRDefault="00815531" w:rsidP="0090111E">
      <w:pPr>
        <w:pStyle w:val="Default"/>
        <w:numPr>
          <w:ilvl w:val="0"/>
          <w:numId w:val="7"/>
        </w:numPr>
        <w:spacing w:after="18"/>
        <w:ind w:left="426" w:hanging="426"/>
        <w:jc w:val="both"/>
        <w:rPr>
          <w:rFonts w:asciiTheme="minorHAnsi" w:hAnsiTheme="minorHAnsi"/>
          <w:sz w:val="22"/>
          <w:szCs w:val="22"/>
        </w:rPr>
      </w:pPr>
      <w:r w:rsidRPr="00143514">
        <w:rPr>
          <w:rFonts w:asciiTheme="minorHAnsi" w:hAnsiTheme="minorHAnsi"/>
          <w:sz w:val="22"/>
          <w:szCs w:val="22"/>
        </w:rPr>
        <w:t xml:space="preserve">obciążenie z tego wynikające nie wyklucza możliwości prawidłowej i efektywnej realizacji wszystkich zadań powierzonych danej osobie; </w:t>
      </w:r>
    </w:p>
    <w:p w:rsidR="00815531" w:rsidRDefault="00815531" w:rsidP="0090111E">
      <w:pPr>
        <w:pStyle w:val="Default"/>
        <w:numPr>
          <w:ilvl w:val="0"/>
          <w:numId w:val="7"/>
        </w:numPr>
        <w:spacing w:after="18"/>
        <w:ind w:left="426" w:hanging="426"/>
        <w:jc w:val="both"/>
        <w:rPr>
          <w:rFonts w:asciiTheme="minorHAnsi" w:hAnsiTheme="minorHAnsi"/>
          <w:sz w:val="22"/>
          <w:szCs w:val="22"/>
        </w:rPr>
      </w:pPr>
      <w:r w:rsidRPr="00143514">
        <w:rPr>
          <w:rFonts w:asciiTheme="minorHAnsi" w:hAnsiTheme="minorHAnsi"/>
          <w:sz w:val="22"/>
          <w:szCs w:val="22"/>
        </w:rPr>
        <w:t xml:space="preserve">łączne zaangażowanie zawodowe tej osoby w realizację wszystkich projektów finansowanych z funduszy strukturalnych oraz działań finansowanych z innych źródeł, w tym środków własnych beneficjenta i innych podmiotów, nie przekracza 276 godzin miesięcznie; </w:t>
      </w:r>
    </w:p>
    <w:p w:rsidR="002A5B4B" w:rsidRDefault="00D505B2" w:rsidP="0090111E">
      <w:pPr>
        <w:pStyle w:val="Default"/>
        <w:numPr>
          <w:ilvl w:val="0"/>
          <w:numId w:val="7"/>
        </w:numPr>
        <w:spacing w:after="18"/>
        <w:ind w:left="426" w:hanging="426"/>
        <w:jc w:val="both"/>
        <w:rPr>
          <w:rFonts w:asciiTheme="minorHAnsi" w:hAnsiTheme="minorHAnsi"/>
          <w:sz w:val="22"/>
          <w:szCs w:val="22"/>
        </w:rPr>
      </w:pPr>
      <w:r w:rsidRPr="00D505B2">
        <w:rPr>
          <w:rFonts w:asciiTheme="minorHAnsi" w:hAnsiTheme="minorHAnsi"/>
          <w:sz w:val="22"/>
          <w:szCs w:val="22"/>
        </w:rPr>
        <w:t>wykonanie zadań</w:t>
      </w:r>
      <w:r w:rsidR="00C72FB8">
        <w:rPr>
          <w:rFonts w:asciiTheme="minorHAnsi" w:hAnsiTheme="minorHAnsi"/>
          <w:sz w:val="22"/>
          <w:szCs w:val="22"/>
        </w:rPr>
        <w:t xml:space="preserve"> </w:t>
      </w:r>
      <w:r w:rsidRPr="00D505B2">
        <w:rPr>
          <w:rFonts w:asciiTheme="minorHAnsi" w:hAnsiTheme="minorHAnsi"/>
          <w:sz w:val="22"/>
          <w:szCs w:val="22"/>
        </w:rPr>
        <w:t>przez tę</w:t>
      </w:r>
      <w:r w:rsidR="00C72FB8">
        <w:rPr>
          <w:rFonts w:asciiTheme="minorHAnsi" w:hAnsiTheme="minorHAnsi"/>
          <w:sz w:val="22"/>
          <w:szCs w:val="22"/>
        </w:rPr>
        <w:t xml:space="preserve"> </w:t>
      </w:r>
      <w:r w:rsidRPr="00D505B2">
        <w:rPr>
          <w:rFonts w:asciiTheme="minorHAnsi" w:hAnsiTheme="minorHAnsi"/>
          <w:sz w:val="22"/>
          <w:szCs w:val="22"/>
        </w:rPr>
        <w:t>osobę</w:t>
      </w:r>
      <w:r w:rsidR="00C72FB8">
        <w:rPr>
          <w:rFonts w:asciiTheme="minorHAnsi" w:hAnsiTheme="minorHAnsi"/>
          <w:sz w:val="22"/>
          <w:szCs w:val="22"/>
        </w:rPr>
        <w:t xml:space="preserve"> </w:t>
      </w:r>
      <w:r w:rsidRPr="00D505B2">
        <w:rPr>
          <w:rFonts w:asciiTheme="minorHAnsi" w:hAnsiTheme="minorHAnsi"/>
          <w:sz w:val="22"/>
          <w:szCs w:val="22"/>
        </w:rPr>
        <w:t>jest potwierdzone protokołem sporządzonym przez tę</w:t>
      </w:r>
      <w:r w:rsidR="00C72FB8">
        <w:rPr>
          <w:rFonts w:asciiTheme="minorHAnsi" w:hAnsiTheme="minorHAnsi"/>
          <w:sz w:val="22"/>
          <w:szCs w:val="22"/>
        </w:rPr>
        <w:t xml:space="preserve"> </w:t>
      </w:r>
      <w:r w:rsidRPr="00D505B2">
        <w:rPr>
          <w:rFonts w:asciiTheme="minorHAnsi" w:hAnsiTheme="minorHAnsi"/>
          <w:sz w:val="22"/>
          <w:szCs w:val="22"/>
        </w:rPr>
        <w:t>osobę, wskazującym prawidłowe wykonanie zadań, liczbę</w:t>
      </w:r>
      <w:r w:rsidR="00C72FB8">
        <w:rPr>
          <w:rFonts w:asciiTheme="minorHAnsi" w:hAnsiTheme="minorHAnsi"/>
          <w:sz w:val="22"/>
          <w:szCs w:val="22"/>
        </w:rPr>
        <w:t xml:space="preserve"> </w:t>
      </w:r>
      <w:r w:rsidRPr="00D505B2">
        <w:rPr>
          <w:rFonts w:asciiTheme="minorHAnsi" w:hAnsiTheme="minorHAnsi"/>
          <w:sz w:val="22"/>
          <w:szCs w:val="22"/>
        </w:rPr>
        <w:t>oraz ewidencję</w:t>
      </w:r>
      <w:r w:rsidR="00C72FB8">
        <w:rPr>
          <w:rFonts w:asciiTheme="minorHAnsi" w:hAnsiTheme="minorHAnsi"/>
          <w:sz w:val="22"/>
          <w:szCs w:val="22"/>
        </w:rPr>
        <w:t xml:space="preserve"> </w:t>
      </w:r>
      <w:r w:rsidRPr="00D505B2">
        <w:rPr>
          <w:rFonts w:asciiTheme="minorHAnsi" w:hAnsiTheme="minorHAnsi"/>
          <w:sz w:val="22"/>
          <w:szCs w:val="22"/>
        </w:rPr>
        <w:t>godzin w danym miesiącu kalendarzowym poświęconych na wykonanie zadań</w:t>
      </w:r>
      <w:r w:rsidR="00C72FB8">
        <w:rPr>
          <w:rFonts w:asciiTheme="minorHAnsi" w:hAnsiTheme="minorHAnsi"/>
          <w:sz w:val="22"/>
          <w:szCs w:val="22"/>
        </w:rPr>
        <w:t xml:space="preserve"> </w:t>
      </w:r>
      <w:r w:rsidRPr="00D505B2">
        <w:rPr>
          <w:rFonts w:asciiTheme="minorHAnsi" w:hAnsiTheme="minorHAnsi"/>
          <w:sz w:val="22"/>
          <w:szCs w:val="22"/>
        </w:rPr>
        <w:t>w projekcie</w:t>
      </w:r>
      <w:r w:rsidR="00C72FB8">
        <w:rPr>
          <w:rFonts w:asciiTheme="minorHAnsi" w:hAnsiTheme="minorHAnsi"/>
          <w:sz w:val="22"/>
          <w:szCs w:val="22"/>
        </w:rPr>
        <w:t xml:space="preserve"> </w:t>
      </w:r>
      <w:r w:rsidRPr="00D505B2">
        <w:rPr>
          <w:rFonts w:asciiTheme="minorHAnsi" w:hAnsiTheme="minorHAnsi"/>
          <w:sz w:val="22"/>
          <w:szCs w:val="22"/>
        </w:rPr>
        <w:t>pracy,  a  dokumenty  związane  z  jej  zaanga</w:t>
      </w:r>
      <w:r>
        <w:rPr>
          <w:rFonts w:asciiTheme="minorHAnsi" w:hAnsiTheme="minorHAnsi"/>
          <w:sz w:val="22"/>
          <w:szCs w:val="22"/>
        </w:rPr>
        <w:t>ż</w:t>
      </w:r>
      <w:r w:rsidRPr="00D505B2">
        <w:rPr>
          <w:rFonts w:asciiTheme="minorHAnsi" w:hAnsiTheme="minorHAnsi"/>
          <w:sz w:val="22"/>
          <w:szCs w:val="22"/>
        </w:rPr>
        <w:t>owaniem  wyraźnie  wskazują na  jej godziny pracy</w:t>
      </w:r>
      <w:r>
        <w:rPr>
          <w:rFonts w:asciiTheme="minorHAnsi" w:hAnsiTheme="minorHAnsi"/>
          <w:sz w:val="22"/>
          <w:szCs w:val="22"/>
        </w:rPr>
        <w:t>.</w:t>
      </w:r>
    </w:p>
    <w:p w:rsidR="002A5B4B" w:rsidRDefault="002A5B4B" w:rsidP="0090111E">
      <w:pPr>
        <w:pStyle w:val="Default"/>
        <w:spacing w:after="18"/>
        <w:ind w:left="426"/>
        <w:jc w:val="both"/>
        <w:rPr>
          <w:rFonts w:asciiTheme="minorHAnsi" w:hAnsiTheme="minorHAnsi"/>
          <w:sz w:val="22"/>
          <w:szCs w:val="22"/>
        </w:rPr>
      </w:pPr>
    </w:p>
    <w:p w:rsidR="002A5B4B" w:rsidRPr="00527217" w:rsidRDefault="00EF5DB6" w:rsidP="0090111E">
      <w:pPr>
        <w:pStyle w:val="Default"/>
        <w:jc w:val="both"/>
        <w:rPr>
          <w:rFonts w:asciiTheme="minorHAnsi" w:hAnsiTheme="minorHAnsi"/>
          <w:b/>
          <w:sz w:val="22"/>
          <w:szCs w:val="22"/>
        </w:rPr>
      </w:pPr>
      <w:r>
        <w:rPr>
          <w:rFonts w:asciiTheme="minorHAnsi" w:hAnsiTheme="minorHAnsi"/>
          <w:b/>
          <w:sz w:val="22"/>
          <w:szCs w:val="22"/>
        </w:rPr>
        <w:t xml:space="preserve">Dodatkowe wymogi związane z wynagrodzeniem </w:t>
      </w:r>
      <w:r w:rsidRPr="00DD1947">
        <w:rPr>
          <w:rFonts w:asciiTheme="minorHAnsi" w:hAnsiTheme="minorHAnsi"/>
          <w:b/>
          <w:sz w:val="22"/>
          <w:szCs w:val="22"/>
        </w:rPr>
        <w:t xml:space="preserve">osób związanych z zarządzaniem projektem </w:t>
      </w:r>
    </w:p>
    <w:p w:rsidR="002A5B4B" w:rsidRPr="00DD1947" w:rsidRDefault="00EF5DB6" w:rsidP="0090111E">
      <w:pPr>
        <w:pStyle w:val="Akapitzlist"/>
        <w:spacing w:after="0"/>
        <w:ind w:left="0"/>
        <w:jc w:val="both"/>
        <w:rPr>
          <w:rFonts w:cs="Calibri"/>
          <w:color w:val="000000"/>
        </w:rPr>
      </w:pPr>
      <w:r>
        <w:rPr>
          <w:sz w:val="24"/>
          <w:szCs w:val="24"/>
        </w:rPr>
        <w:t>K</w:t>
      </w:r>
      <w:r w:rsidR="002A5B4B" w:rsidRPr="00D53188">
        <w:rPr>
          <w:sz w:val="24"/>
          <w:szCs w:val="24"/>
        </w:rPr>
        <w:t>walif</w:t>
      </w:r>
      <w:r w:rsidR="002A5B4B" w:rsidRPr="00DD1947">
        <w:rPr>
          <w:rFonts w:cs="Calibri"/>
          <w:color w:val="000000"/>
        </w:rPr>
        <w:t>ikowalne mogą być wydatki osobowe związane z wynagrodzeniem osób</w:t>
      </w:r>
      <w:r w:rsidR="002A5B4B">
        <w:rPr>
          <w:rFonts w:cs="Calibri"/>
          <w:color w:val="000000"/>
        </w:rPr>
        <w:t xml:space="preserve"> związanych z zarządzeniem projektem </w:t>
      </w:r>
      <w:r w:rsidR="002A5B4B" w:rsidRPr="00DD1947">
        <w:rPr>
          <w:rFonts w:cs="Calibri"/>
          <w:color w:val="000000"/>
        </w:rPr>
        <w:t>przy wykonywaniu ww. czynności w projekcie jeżeli łącznie spełnione zostaną m.in. następujące warunki:</w:t>
      </w:r>
    </w:p>
    <w:p w:rsidR="002A5B4B" w:rsidRPr="00DD1947" w:rsidRDefault="002A5B4B" w:rsidP="0090111E">
      <w:pPr>
        <w:pStyle w:val="Akapitzlist"/>
        <w:numPr>
          <w:ilvl w:val="0"/>
          <w:numId w:val="1"/>
        </w:numPr>
        <w:spacing w:after="0"/>
        <w:ind w:left="426" w:hanging="284"/>
        <w:jc w:val="both"/>
        <w:rPr>
          <w:rFonts w:cs="Calibri"/>
          <w:color w:val="000000"/>
        </w:rPr>
      </w:pPr>
      <w:r w:rsidRPr="00DD1947">
        <w:rPr>
          <w:rFonts w:cs="Calibri"/>
          <w:color w:val="000000"/>
        </w:rPr>
        <w:t>ww. osoba jest bezpośrednio zaangażowana w wykonywanie ww. czynności w ramach projektu;</w:t>
      </w:r>
    </w:p>
    <w:p w:rsidR="002A5B4B" w:rsidRPr="00DD1947" w:rsidRDefault="002A5B4B" w:rsidP="0090111E">
      <w:pPr>
        <w:pStyle w:val="Akapitzlist"/>
        <w:numPr>
          <w:ilvl w:val="0"/>
          <w:numId w:val="1"/>
        </w:numPr>
        <w:spacing w:after="0"/>
        <w:ind w:left="426" w:hanging="284"/>
        <w:jc w:val="both"/>
        <w:rPr>
          <w:rFonts w:cs="Calibri"/>
          <w:color w:val="000000"/>
        </w:rPr>
      </w:pPr>
      <w:r w:rsidRPr="00DD1947">
        <w:rPr>
          <w:rFonts w:cs="Calibri"/>
          <w:color w:val="000000"/>
        </w:rPr>
        <w:t>mogą być uwzględniane tylko te ww. osoby, które w co najmniej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rsidR="002A5B4B" w:rsidRPr="00DD1947" w:rsidRDefault="002A5B4B" w:rsidP="0090111E">
      <w:pPr>
        <w:pStyle w:val="Akapitzlist"/>
        <w:numPr>
          <w:ilvl w:val="0"/>
          <w:numId w:val="25"/>
        </w:numPr>
        <w:spacing w:after="0"/>
        <w:ind w:left="426" w:hanging="284"/>
        <w:jc w:val="both"/>
        <w:rPr>
          <w:rFonts w:cs="Calibri"/>
          <w:color w:val="000000"/>
        </w:rPr>
      </w:pPr>
      <w:r w:rsidRPr="00DD1947">
        <w:rPr>
          <w:rFonts w:cs="Calibri"/>
          <w:color w:val="000000"/>
        </w:rPr>
        <w:t>wydatki ponoszone są wyłącznie w okresie realizacji projektu oraz za okres, w którym ww. osoba wykonywała faktycznie czynności związane w ramach projektu.</w:t>
      </w:r>
    </w:p>
    <w:p w:rsidR="00D505B2" w:rsidRDefault="00D505B2" w:rsidP="0090111E">
      <w:pPr>
        <w:pStyle w:val="Default"/>
        <w:spacing w:after="18"/>
        <w:ind w:left="426"/>
        <w:jc w:val="both"/>
        <w:rPr>
          <w:rFonts w:asciiTheme="minorHAnsi" w:hAnsiTheme="minorHAnsi"/>
          <w:sz w:val="22"/>
          <w:szCs w:val="22"/>
        </w:rPr>
      </w:pPr>
    </w:p>
    <w:p w:rsidR="00B86483" w:rsidRPr="002A5B4B" w:rsidRDefault="00791D45" w:rsidP="0090111E">
      <w:pPr>
        <w:pStyle w:val="Default"/>
        <w:spacing w:after="18"/>
        <w:jc w:val="both"/>
        <w:rPr>
          <w:rFonts w:asciiTheme="minorHAnsi" w:hAnsiTheme="minorHAnsi"/>
          <w:b/>
          <w:sz w:val="22"/>
          <w:szCs w:val="22"/>
          <w:u w:val="single"/>
        </w:rPr>
      </w:pPr>
      <w:r w:rsidRPr="002A5B4B">
        <w:rPr>
          <w:rFonts w:asciiTheme="minorHAnsi" w:hAnsiTheme="minorHAnsi"/>
          <w:b/>
          <w:sz w:val="22"/>
          <w:szCs w:val="22"/>
          <w:u w:val="single"/>
        </w:rPr>
        <w:t>Formy zatrudnienia w projekcie:</w:t>
      </w:r>
    </w:p>
    <w:p w:rsidR="00791D45" w:rsidRPr="00D505B2" w:rsidRDefault="00791D45" w:rsidP="0090111E">
      <w:pPr>
        <w:pStyle w:val="Default"/>
        <w:spacing w:after="18"/>
        <w:jc w:val="both"/>
        <w:rPr>
          <w:rFonts w:asciiTheme="minorHAnsi" w:hAnsiTheme="minorHAnsi"/>
          <w:sz w:val="22"/>
          <w:szCs w:val="22"/>
        </w:rPr>
      </w:pPr>
    </w:p>
    <w:p w:rsidR="00D505B2" w:rsidRPr="00D505B2" w:rsidRDefault="00791D45" w:rsidP="0090111E">
      <w:pPr>
        <w:pStyle w:val="Default"/>
        <w:jc w:val="both"/>
        <w:rPr>
          <w:rFonts w:asciiTheme="minorHAnsi" w:hAnsiTheme="minorHAnsi"/>
          <w:b/>
          <w:sz w:val="22"/>
          <w:szCs w:val="22"/>
        </w:rPr>
      </w:pPr>
      <w:r w:rsidRPr="00D505B2">
        <w:rPr>
          <w:rFonts w:asciiTheme="minorHAnsi" w:hAnsiTheme="minorHAnsi"/>
          <w:b/>
          <w:sz w:val="22"/>
          <w:szCs w:val="22"/>
        </w:rPr>
        <w:t>Stosunek pracy</w:t>
      </w:r>
    </w:p>
    <w:p w:rsidR="00D505B2" w:rsidRDefault="007A4D3D" w:rsidP="0090111E">
      <w:pPr>
        <w:pStyle w:val="Default"/>
        <w:jc w:val="both"/>
        <w:rPr>
          <w:rFonts w:asciiTheme="minorHAnsi" w:hAnsiTheme="minorHAnsi"/>
          <w:sz w:val="22"/>
          <w:szCs w:val="22"/>
        </w:rPr>
      </w:pPr>
      <w:r w:rsidRPr="007A4D3D">
        <w:rPr>
          <w:rFonts w:asciiTheme="minorHAnsi" w:hAnsiTheme="minorHAnsi"/>
          <w:sz w:val="22"/>
          <w:szCs w:val="22"/>
        </w:rPr>
        <w:t>W  przypadku  zatrudniania  personelu  na  podsta</w:t>
      </w:r>
      <w:r>
        <w:rPr>
          <w:rFonts w:asciiTheme="minorHAnsi" w:hAnsiTheme="minorHAnsi"/>
          <w:sz w:val="22"/>
          <w:szCs w:val="22"/>
        </w:rPr>
        <w:t xml:space="preserve">wie  stosunku  pracy,  wydatki </w:t>
      </w:r>
      <w:r w:rsidRPr="007A4D3D">
        <w:rPr>
          <w:rFonts w:asciiTheme="minorHAnsi" w:hAnsiTheme="minorHAnsi"/>
          <w:sz w:val="22"/>
          <w:szCs w:val="22"/>
        </w:rPr>
        <w:t>na wynagrodzenie</w:t>
      </w:r>
      <w:r>
        <w:rPr>
          <w:rFonts w:asciiTheme="minorHAnsi" w:hAnsiTheme="minorHAnsi"/>
          <w:sz w:val="22"/>
          <w:szCs w:val="22"/>
        </w:rPr>
        <w:t xml:space="preserve"> personelu</w:t>
      </w:r>
      <w:r>
        <w:rPr>
          <w:rStyle w:val="Odwoanieprzypisudolnego"/>
          <w:rFonts w:asciiTheme="minorHAnsi" w:hAnsiTheme="minorHAnsi"/>
          <w:sz w:val="22"/>
          <w:szCs w:val="22"/>
        </w:rPr>
        <w:footnoteReference w:id="2"/>
      </w:r>
      <w:r>
        <w:rPr>
          <w:rFonts w:asciiTheme="minorHAnsi" w:hAnsiTheme="minorHAnsi"/>
          <w:sz w:val="22"/>
          <w:szCs w:val="22"/>
        </w:rPr>
        <w:t xml:space="preserve"> są kwalifikowalne, jeż</w:t>
      </w:r>
      <w:r w:rsidRPr="007A4D3D">
        <w:rPr>
          <w:rFonts w:asciiTheme="minorHAnsi" w:hAnsiTheme="minorHAnsi"/>
          <w:sz w:val="22"/>
          <w:szCs w:val="22"/>
        </w:rPr>
        <w:t>eli są</w:t>
      </w:r>
      <w:r>
        <w:rPr>
          <w:rFonts w:asciiTheme="minorHAnsi" w:hAnsiTheme="minorHAnsi"/>
          <w:sz w:val="22"/>
          <w:szCs w:val="22"/>
        </w:rPr>
        <w:t xml:space="preserve"> spełnione łącznie następujące </w:t>
      </w:r>
      <w:r w:rsidRPr="007A4D3D">
        <w:rPr>
          <w:rFonts w:asciiTheme="minorHAnsi" w:hAnsiTheme="minorHAnsi"/>
          <w:sz w:val="22"/>
          <w:szCs w:val="22"/>
        </w:rPr>
        <w:t>warunki:</w:t>
      </w:r>
    </w:p>
    <w:p w:rsidR="007A4D3D" w:rsidRDefault="007A4D3D" w:rsidP="0090111E">
      <w:pPr>
        <w:pStyle w:val="Default"/>
        <w:numPr>
          <w:ilvl w:val="0"/>
          <w:numId w:val="23"/>
        </w:numPr>
        <w:ind w:left="426" w:hanging="426"/>
        <w:jc w:val="both"/>
        <w:rPr>
          <w:rFonts w:asciiTheme="minorHAnsi" w:hAnsiTheme="minorHAnsi"/>
          <w:sz w:val="22"/>
          <w:szCs w:val="22"/>
        </w:rPr>
      </w:pPr>
      <w:r w:rsidRPr="007A4D3D">
        <w:rPr>
          <w:rFonts w:asciiTheme="minorHAnsi" w:hAnsiTheme="minorHAnsi"/>
          <w:sz w:val="22"/>
          <w:szCs w:val="22"/>
        </w:rPr>
        <w:t>pracownik jest zatrudniony lub oddelegowany</w:t>
      </w:r>
      <w:r>
        <w:rPr>
          <w:rStyle w:val="Odwoanieprzypisudolnego"/>
          <w:rFonts w:asciiTheme="minorHAnsi" w:hAnsiTheme="minorHAnsi"/>
          <w:sz w:val="22"/>
          <w:szCs w:val="22"/>
        </w:rPr>
        <w:footnoteReference w:id="3"/>
      </w:r>
      <w:r w:rsidRPr="007A4D3D">
        <w:rPr>
          <w:rFonts w:asciiTheme="minorHAnsi" w:hAnsiTheme="minorHAnsi"/>
          <w:sz w:val="22"/>
          <w:szCs w:val="22"/>
        </w:rPr>
        <w:t>w celu realizacji zadań</w:t>
      </w:r>
      <w:r w:rsidR="00C72FB8">
        <w:rPr>
          <w:rFonts w:asciiTheme="minorHAnsi" w:hAnsiTheme="minorHAnsi"/>
          <w:sz w:val="22"/>
          <w:szCs w:val="22"/>
        </w:rPr>
        <w:t xml:space="preserve"> </w:t>
      </w:r>
      <w:r w:rsidRPr="007A4D3D">
        <w:rPr>
          <w:rFonts w:asciiTheme="minorHAnsi" w:hAnsiTheme="minorHAnsi"/>
          <w:sz w:val="22"/>
          <w:szCs w:val="22"/>
        </w:rPr>
        <w:t>związanych bezpośrednio z realizacją</w:t>
      </w:r>
      <w:r w:rsidR="00C72FB8">
        <w:rPr>
          <w:rFonts w:asciiTheme="minorHAnsi" w:hAnsiTheme="minorHAnsi"/>
          <w:sz w:val="22"/>
          <w:szCs w:val="22"/>
        </w:rPr>
        <w:t xml:space="preserve"> </w:t>
      </w:r>
      <w:r w:rsidRPr="007A4D3D">
        <w:rPr>
          <w:rFonts w:asciiTheme="minorHAnsi" w:hAnsiTheme="minorHAnsi"/>
          <w:sz w:val="22"/>
          <w:szCs w:val="22"/>
        </w:rPr>
        <w:t xml:space="preserve">projektu, </w:t>
      </w:r>
    </w:p>
    <w:p w:rsidR="007A4D3D" w:rsidRDefault="007A4D3D" w:rsidP="0090111E">
      <w:pPr>
        <w:pStyle w:val="Default"/>
        <w:numPr>
          <w:ilvl w:val="0"/>
          <w:numId w:val="23"/>
        </w:numPr>
        <w:ind w:left="426" w:hanging="426"/>
        <w:jc w:val="both"/>
        <w:rPr>
          <w:rFonts w:asciiTheme="minorHAnsi" w:hAnsiTheme="minorHAnsi"/>
          <w:sz w:val="22"/>
          <w:szCs w:val="22"/>
        </w:rPr>
      </w:pPr>
      <w:r w:rsidRPr="007A4D3D">
        <w:rPr>
          <w:rFonts w:asciiTheme="minorHAnsi" w:hAnsiTheme="minorHAnsi"/>
          <w:sz w:val="22"/>
          <w:szCs w:val="22"/>
        </w:rPr>
        <w:t xml:space="preserve">okres  zatrudnienia  lub  oddelegowania  pracownika  jest  kwalifikowalny  wyłącznie  do końcowej daty kwalifikowalności wydatków wyznaczonej w umowie o dofinansowanie; </w:t>
      </w:r>
      <w:r>
        <w:rPr>
          <w:rFonts w:asciiTheme="minorHAnsi" w:hAnsiTheme="minorHAnsi"/>
          <w:sz w:val="22"/>
          <w:szCs w:val="22"/>
        </w:rPr>
        <w:t>powyż</w:t>
      </w:r>
      <w:r w:rsidRPr="007A4D3D">
        <w:rPr>
          <w:rFonts w:asciiTheme="minorHAnsi" w:hAnsiTheme="minorHAnsi"/>
          <w:sz w:val="22"/>
          <w:szCs w:val="22"/>
        </w:rPr>
        <w:t>sze nie ozn</w:t>
      </w:r>
      <w:r>
        <w:rPr>
          <w:rFonts w:asciiTheme="minorHAnsi" w:hAnsiTheme="minorHAnsi"/>
          <w:sz w:val="22"/>
          <w:szCs w:val="22"/>
        </w:rPr>
        <w:t xml:space="preserve">acza,  że stosunek pracy nie może trwać dłużej niż </w:t>
      </w:r>
      <w:r w:rsidRPr="007A4D3D">
        <w:rPr>
          <w:rFonts w:asciiTheme="minorHAnsi" w:hAnsiTheme="minorHAnsi"/>
          <w:sz w:val="22"/>
          <w:szCs w:val="22"/>
        </w:rPr>
        <w:t xml:space="preserve">okres realizacji projektu, </w:t>
      </w:r>
    </w:p>
    <w:p w:rsidR="007A4D3D" w:rsidRPr="007A4D3D" w:rsidRDefault="007A4D3D" w:rsidP="0090111E">
      <w:pPr>
        <w:pStyle w:val="Default"/>
        <w:numPr>
          <w:ilvl w:val="0"/>
          <w:numId w:val="23"/>
        </w:numPr>
        <w:ind w:left="426" w:hanging="426"/>
        <w:jc w:val="both"/>
        <w:rPr>
          <w:rFonts w:asciiTheme="minorHAnsi" w:hAnsiTheme="minorHAnsi"/>
          <w:sz w:val="22"/>
          <w:szCs w:val="22"/>
        </w:rPr>
      </w:pPr>
      <w:r w:rsidRPr="007A4D3D">
        <w:rPr>
          <w:rFonts w:asciiTheme="minorHAnsi" w:hAnsiTheme="minorHAnsi"/>
          <w:sz w:val="22"/>
          <w:szCs w:val="22"/>
        </w:rPr>
        <w:lastRenderedPageBreak/>
        <w:t>zatrudnienie lub oddelegowanie do pełnienia zadań</w:t>
      </w:r>
      <w:r w:rsidR="00C72FB8">
        <w:rPr>
          <w:rFonts w:asciiTheme="minorHAnsi" w:hAnsiTheme="minorHAnsi"/>
          <w:sz w:val="22"/>
          <w:szCs w:val="22"/>
        </w:rPr>
        <w:t xml:space="preserve"> </w:t>
      </w:r>
      <w:r w:rsidRPr="007A4D3D">
        <w:rPr>
          <w:rFonts w:asciiTheme="minorHAnsi" w:hAnsiTheme="minorHAnsi"/>
          <w:sz w:val="22"/>
          <w:szCs w:val="22"/>
        </w:rPr>
        <w:t>związanych z realizacją</w:t>
      </w:r>
      <w:r w:rsidR="00C72FB8">
        <w:rPr>
          <w:rFonts w:asciiTheme="minorHAnsi" w:hAnsiTheme="minorHAnsi"/>
          <w:sz w:val="22"/>
          <w:szCs w:val="22"/>
        </w:rPr>
        <w:t xml:space="preserve"> </w:t>
      </w:r>
      <w:r w:rsidRPr="007A4D3D">
        <w:rPr>
          <w:rFonts w:asciiTheme="minorHAnsi" w:hAnsiTheme="minorHAnsi"/>
          <w:sz w:val="22"/>
          <w:szCs w:val="22"/>
        </w:rPr>
        <w:t>projektu jest odpowiednio udokumentowane postanowieniami umowy o pracę</w:t>
      </w:r>
      <w:r w:rsidR="00C72FB8">
        <w:rPr>
          <w:rFonts w:asciiTheme="minorHAnsi" w:hAnsiTheme="minorHAnsi"/>
          <w:sz w:val="22"/>
          <w:szCs w:val="22"/>
        </w:rPr>
        <w:t xml:space="preserve"> </w:t>
      </w:r>
      <w:r w:rsidRPr="007A4D3D">
        <w:rPr>
          <w:rFonts w:asciiTheme="minorHAnsi" w:hAnsiTheme="minorHAnsi"/>
          <w:sz w:val="22"/>
          <w:szCs w:val="22"/>
        </w:rPr>
        <w:t xml:space="preserve">lub zakresem </w:t>
      </w:r>
      <w:r>
        <w:rPr>
          <w:rFonts w:asciiTheme="minorHAnsi" w:hAnsiTheme="minorHAnsi"/>
          <w:sz w:val="22"/>
          <w:szCs w:val="22"/>
        </w:rPr>
        <w:t xml:space="preserve"> czynności służ</w:t>
      </w:r>
      <w:r w:rsidRPr="007A4D3D">
        <w:rPr>
          <w:rFonts w:asciiTheme="minorHAnsi" w:hAnsiTheme="minorHAnsi"/>
          <w:sz w:val="22"/>
          <w:szCs w:val="22"/>
        </w:rPr>
        <w:t>bowych pracownika lub opisem stanowiska pracy</w:t>
      </w:r>
      <w:r w:rsidR="00B86483">
        <w:rPr>
          <w:rFonts w:asciiTheme="minorHAnsi" w:hAnsiTheme="minorHAnsi"/>
          <w:sz w:val="22"/>
          <w:szCs w:val="22"/>
        </w:rPr>
        <w:t xml:space="preserve"> stanowiącą między innymi podstawę do określenia proporcji faktycznego zaangażowania pracownika w realizację projektu</w:t>
      </w:r>
      <w:r w:rsidRPr="007A4D3D">
        <w:rPr>
          <w:rFonts w:asciiTheme="minorHAnsi" w:hAnsiTheme="minorHAnsi"/>
          <w:sz w:val="22"/>
          <w:szCs w:val="22"/>
        </w:rPr>
        <w:t xml:space="preserve">; przez odpowiednie </w:t>
      </w:r>
      <w:r>
        <w:rPr>
          <w:rFonts w:asciiTheme="minorHAnsi" w:hAnsiTheme="minorHAnsi"/>
          <w:sz w:val="22"/>
          <w:szCs w:val="22"/>
        </w:rPr>
        <w:t>udokumentowanie  należ</w:t>
      </w:r>
      <w:r w:rsidRPr="007A4D3D">
        <w:rPr>
          <w:rFonts w:asciiTheme="minorHAnsi" w:hAnsiTheme="minorHAnsi"/>
          <w:sz w:val="22"/>
          <w:szCs w:val="22"/>
        </w:rPr>
        <w:t>y  rozumieć m.in.  wskazanie  w  ww.  dokumentach  zadań, które dana osoba będzie wykonywała w ramach projektu.</w:t>
      </w:r>
    </w:p>
    <w:p w:rsidR="007A4D3D" w:rsidRDefault="007A4D3D" w:rsidP="0090111E">
      <w:pPr>
        <w:pStyle w:val="Default"/>
        <w:jc w:val="both"/>
        <w:rPr>
          <w:rFonts w:asciiTheme="minorHAnsi" w:hAnsiTheme="minorHAnsi"/>
          <w:sz w:val="22"/>
          <w:szCs w:val="22"/>
        </w:rPr>
      </w:pPr>
    </w:p>
    <w:p w:rsidR="00B86483" w:rsidRDefault="00B86483" w:rsidP="0090111E">
      <w:pPr>
        <w:pStyle w:val="Default"/>
        <w:jc w:val="both"/>
        <w:rPr>
          <w:rFonts w:asciiTheme="minorHAnsi" w:hAnsiTheme="minorHAnsi"/>
          <w:sz w:val="22"/>
          <w:szCs w:val="22"/>
        </w:rPr>
      </w:pPr>
    </w:p>
    <w:p w:rsidR="007A4D3D" w:rsidRPr="00527217" w:rsidRDefault="00791D45" w:rsidP="0090111E">
      <w:pPr>
        <w:pStyle w:val="Default"/>
        <w:jc w:val="both"/>
        <w:rPr>
          <w:rFonts w:asciiTheme="minorHAnsi" w:hAnsiTheme="minorHAnsi"/>
          <w:b/>
          <w:sz w:val="22"/>
          <w:szCs w:val="22"/>
        </w:rPr>
      </w:pPr>
      <w:r w:rsidRPr="00527217">
        <w:rPr>
          <w:rFonts w:asciiTheme="minorHAnsi" w:hAnsiTheme="minorHAnsi"/>
          <w:b/>
          <w:sz w:val="22"/>
          <w:szCs w:val="22"/>
        </w:rPr>
        <w:t>Stosunek cywilnoprawny</w:t>
      </w:r>
    </w:p>
    <w:p w:rsidR="007A4D3D" w:rsidRDefault="00B86483" w:rsidP="0090111E">
      <w:pPr>
        <w:pStyle w:val="Default"/>
        <w:jc w:val="both"/>
        <w:rPr>
          <w:rFonts w:asciiTheme="minorHAnsi" w:hAnsiTheme="minorHAnsi"/>
          <w:sz w:val="22"/>
          <w:szCs w:val="22"/>
        </w:rPr>
      </w:pPr>
      <w:r w:rsidRPr="00B86483">
        <w:rPr>
          <w:rFonts w:asciiTheme="minorHAnsi" w:hAnsiTheme="minorHAnsi"/>
          <w:sz w:val="22"/>
          <w:szCs w:val="22"/>
        </w:rPr>
        <w:t>Wydatki  poniesione  na  w</w:t>
      </w:r>
      <w:r>
        <w:rPr>
          <w:rFonts w:asciiTheme="minorHAnsi" w:hAnsiTheme="minorHAnsi"/>
          <w:sz w:val="22"/>
          <w:szCs w:val="22"/>
        </w:rPr>
        <w:t xml:space="preserve">ynagrodzenie  personelu  zaangażowanego  na  podstawie  </w:t>
      </w:r>
      <w:r w:rsidRPr="00B86483">
        <w:rPr>
          <w:rFonts w:asciiTheme="minorHAnsi" w:hAnsiTheme="minorHAnsi"/>
          <w:sz w:val="22"/>
          <w:szCs w:val="22"/>
        </w:rPr>
        <w:t>stosunku cywilnoprawnego (umowa zlecenie,</w:t>
      </w:r>
      <w:r>
        <w:rPr>
          <w:rFonts w:asciiTheme="minorHAnsi" w:hAnsiTheme="minorHAnsi"/>
          <w:sz w:val="22"/>
          <w:szCs w:val="22"/>
        </w:rPr>
        <w:t xml:space="preserve"> umowa o dzieło, kontrakt menadżerski) są </w:t>
      </w:r>
      <w:r w:rsidRPr="00B86483">
        <w:rPr>
          <w:rFonts w:asciiTheme="minorHAnsi" w:hAnsiTheme="minorHAnsi"/>
          <w:sz w:val="22"/>
          <w:szCs w:val="22"/>
        </w:rPr>
        <w:t>kwalifikowalne</w:t>
      </w:r>
      <w:r>
        <w:rPr>
          <w:rFonts w:asciiTheme="minorHAnsi" w:hAnsiTheme="minorHAnsi"/>
          <w:sz w:val="22"/>
          <w:szCs w:val="22"/>
        </w:rPr>
        <w:t xml:space="preserve"> jeżeli:</w:t>
      </w:r>
    </w:p>
    <w:p w:rsidR="00B86483" w:rsidRDefault="00B86483" w:rsidP="0090111E">
      <w:pPr>
        <w:pStyle w:val="Default"/>
        <w:numPr>
          <w:ilvl w:val="0"/>
          <w:numId w:val="24"/>
        </w:numPr>
        <w:jc w:val="both"/>
        <w:rPr>
          <w:rFonts w:asciiTheme="minorHAnsi" w:hAnsiTheme="minorHAnsi"/>
          <w:sz w:val="22"/>
          <w:szCs w:val="22"/>
        </w:rPr>
      </w:pPr>
      <w:r>
        <w:rPr>
          <w:rFonts w:asciiTheme="minorHAnsi" w:hAnsiTheme="minorHAnsi"/>
          <w:sz w:val="22"/>
          <w:szCs w:val="22"/>
        </w:rPr>
        <w:t>r</w:t>
      </w:r>
      <w:r w:rsidRPr="00B86483">
        <w:rPr>
          <w:rFonts w:asciiTheme="minorHAnsi" w:hAnsiTheme="minorHAnsi"/>
          <w:sz w:val="22"/>
          <w:szCs w:val="22"/>
        </w:rPr>
        <w:t>ozliczenie  umowy  zlecenia  następuje  na  podstawie  protokołu</w:t>
      </w:r>
      <w:r>
        <w:rPr>
          <w:rFonts w:asciiTheme="minorHAnsi" w:hAnsiTheme="minorHAnsi"/>
          <w:sz w:val="22"/>
          <w:szCs w:val="22"/>
        </w:rPr>
        <w:t xml:space="preserve"> wykonania zadań;</w:t>
      </w:r>
    </w:p>
    <w:p w:rsidR="00B86483" w:rsidRDefault="00B86483" w:rsidP="0090111E">
      <w:pPr>
        <w:pStyle w:val="Default"/>
        <w:numPr>
          <w:ilvl w:val="0"/>
          <w:numId w:val="24"/>
        </w:numPr>
        <w:jc w:val="both"/>
        <w:rPr>
          <w:rFonts w:asciiTheme="minorHAnsi" w:hAnsiTheme="minorHAnsi"/>
          <w:sz w:val="22"/>
          <w:szCs w:val="22"/>
        </w:rPr>
      </w:pPr>
      <w:r>
        <w:rPr>
          <w:rFonts w:asciiTheme="minorHAnsi" w:hAnsiTheme="minorHAnsi"/>
          <w:sz w:val="22"/>
          <w:szCs w:val="22"/>
        </w:rPr>
        <w:t>osoba zaangażowana na podstawie stosunku cywilnoprawnego nie jest jednocześnie pracownikiem beneficjenta</w:t>
      </w:r>
      <w:r w:rsidR="002A5B4B">
        <w:rPr>
          <w:rFonts w:asciiTheme="minorHAnsi" w:hAnsiTheme="minorHAnsi"/>
          <w:sz w:val="22"/>
          <w:szCs w:val="22"/>
        </w:rPr>
        <w:t xml:space="preserve"> (nie dotyczy umowy o dzieło)</w:t>
      </w:r>
      <w:r>
        <w:rPr>
          <w:rFonts w:asciiTheme="minorHAnsi" w:hAnsiTheme="minorHAnsi"/>
          <w:sz w:val="22"/>
          <w:szCs w:val="22"/>
        </w:rPr>
        <w:t>;</w:t>
      </w:r>
    </w:p>
    <w:p w:rsidR="007A4D3D" w:rsidRPr="00527217" w:rsidRDefault="00527217" w:rsidP="0090111E">
      <w:pPr>
        <w:pStyle w:val="Default"/>
        <w:numPr>
          <w:ilvl w:val="0"/>
          <w:numId w:val="24"/>
        </w:numPr>
        <w:jc w:val="both"/>
        <w:rPr>
          <w:rFonts w:asciiTheme="minorHAnsi" w:hAnsiTheme="minorHAnsi"/>
          <w:sz w:val="22"/>
          <w:szCs w:val="22"/>
        </w:rPr>
      </w:pPr>
      <w:r w:rsidRPr="00527217">
        <w:rPr>
          <w:rFonts w:asciiTheme="minorHAnsi" w:hAnsiTheme="minorHAnsi"/>
          <w:sz w:val="22"/>
          <w:szCs w:val="22"/>
        </w:rPr>
        <w:t>osoba zaangażowana na podstawie stosunku cywilnoprawnego</w:t>
      </w:r>
      <w:r>
        <w:rPr>
          <w:rFonts w:asciiTheme="minorHAnsi" w:hAnsiTheme="minorHAnsi"/>
          <w:sz w:val="22"/>
          <w:szCs w:val="22"/>
        </w:rPr>
        <w:t xml:space="preserve"> została wybrana zgodnie z zasadą </w:t>
      </w:r>
      <w:r w:rsidR="002A5B4B">
        <w:rPr>
          <w:rFonts w:asciiTheme="minorHAnsi" w:hAnsiTheme="minorHAnsi"/>
          <w:sz w:val="22"/>
          <w:szCs w:val="22"/>
        </w:rPr>
        <w:t>wyboru wykonawców</w:t>
      </w:r>
      <w:r>
        <w:rPr>
          <w:rStyle w:val="Odwoanieprzypisudolnego"/>
          <w:rFonts w:asciiTheme="minorHAnsi" w:hAnsiTheme="minorHAnsi"/>
          <w:sz w:val="22"/>
          <w:szCs w:val="22"/>
        </w:rPr>
        <w:footnoteReference w:id="4"/>
      </w:r>
      <w:r>
        <w:rPr>
          <w:rFonts w:asciiTheme="minorHAnsi" w:hAnsiTheme="minorHAnsi"/>
          <w:sz w:val="22"/>
          <w:szCs w:val="22"/>
        </w:rPr>
        <w:t>.</w:t>
      </w:r>
    </w:p>
    <w:p w:rsidR="007A4D3D" w:rsidRDefault="007A4D3D" w:rsidP="0090111E">
      <w:pPr>
        <w:pStyle w:val="Default"/>
        <w:jc w:val="both"/>
        <w:rPr>
          <w:rFonts w:asciiTheme="minorHAnsi" w:hAnsiTheme="minorHAnsi"/>
          <w:sz w:val="22"/>
          <w:szCs w:val="22"/>
        </w:rPr>
      </w:pPr>
    </w:p>
    <w:p w:rsidR="00527217" w:rsidRPr="00527217" w:rsidRDefault="00527217" w:rsidP="0090111E">
      <w:pPr>
        <w:pStyle w:val="Default"/>
        <w:jc w:val="both"/>
        <w:rPr>
          <w:rFonts w:asciiTheme="minorHAnsi" w:hAnsiTheme="minorHAnsi"/>
          <w:sz w:val="22"/>
          <w:szCs w:val="22"/>
        </w:rPr>
      </w:pPr>
      <w:r w:rsidRPr="00527217">
        <w:rPr>
          <w:rFonts w:asciiTheme="minorHAnsi" w:hAnsiTheme="minorHAnsi"/>
          <w:sz w:val="22"/>
          <w:szCs w:val="22"/>
        </w:rPr>
        <w:t>Wydatki poniesione na wynagrodzenie personelu zaanga</w:t>
      </w:r>
      <w:r>
        <w:rPr>
          <w:rFonts w:asciiTheme="minorHAnsi" w:hAnsiTheme="minorHAnsi"/>
          <w:sz w:val="22"/>
          <w:szCs w:val="22"/>
        </w:rPr>
        <w:t>żowanego na podstawie umowy o dzieło są kwalifikowalne, jeż</w:t>
      </w:r>
      <w:r w:rsidRPr="00527217">
        <w:rPr>
          <w:rFonts w:asciiTheme="minorHAnsi" w:hAnsiTheme="minorHAnsi"/>
          <w:sz w:val="22"/>
          <w:szCs w:val="22"/>
        </w:rPr>
        <w:t>eli spełnione są</w:t>
      </w:r>
      <w:r w:rsidR="00C72FB8">
        <w:rPr>
          <w:rFonts w:asciiTheme="minorHAnsi" w:hAnsiTheme="minorHAnsi"/>
          <w:sz w:val="22"/>
          <w:szCs w:val="22"/>
        </w:rPr>
        <w:t xml:space="preserve"> </w:t>
      </w:r>
      <w:r w:rsidRPr="00527217">
        <w:rPr>
          <w:rFonts w:asciiTheme="minorHAnsi" w:hAnsiTheme="minorHAnsi"/>
          <w:sz w:val="22"/>
          <w:szCs w:val="22"/>
        </w:rPr>
        <w:t xml:space="preserve">łącznie następujące warunki: </w:t>
      </w:r>
    </w:p>
    <w:p w:rsidR="00527217" w:rsidRPr="00527217" w:rsidRDefault="00527217" w:rsidP="0090111E">
      <w:pPr>
        <w:pStyle w:val="Default"/>
        <w:jc w:val="both"/>
        <w:rPr>
          <w:rFonts w:asciiTheme="minorHAnsi" w:hAnsiTheme="minorHAnsi"/>
          <w:sz w:val="22"/>
          <w:szCs w:val="22"/>
        </w:rPr>
      </w:pPr>
      <w:r w:rsidRPr="00527217">
        <w:rPr>
          <w:rFonts w:asciiTheme="minorHAnsi" w:hAnsiTheme="minorHAnsi"/>
          <w:sz w:val="22"/>
          <w:szCs w:val="22"/>
        </w:rPr>
        <w:t>a) charakter zadań</w:t>
      </w:r>
      <w:r w:rsidR="00C72FB8">
        <w:rPr>
          <w:rFonts w:asciiTheme="minorHAnsi" w:hAnsiTheme="minorHAnsi"/>
          <w:sz w:val="22"/>
          <w:szCs w:val="22"/>
        </w:rPr>
        <w:t xml:space="preserve"> </w:t>
      </w:r>
      <w:r w:rsidRPr="00527217">
        <w:rPr>
          <w:rFonts w:asciiTheme="minorHAnsi" w:hAnsiTheme="minorHAnsi"/>
          <w:sz w:val="22"/>
          <w:szCs w:val="22"/>
        </w:rPr>
        <w:t>uz</w:t>
      </w:r>
      <w:r>
        <w:rPr>
          <w:rFonts w:asciiTheme="minorHAnsi" w:hAnsiTheme="minorHAnsi"/>
          <w:sz w:val="22"/>
          <w:szCs w:val="22"/>
        </w:rPr>
        <w:t>asadnia zawarcie umowy o dzieło (patrz art. 627 kodeksu cywilnego)</w:t>
      </w:r>
      <w:r w:rsidRPr="00527217">
        <w:rPr>
          <w:rFonts w:asciiTheme="minorHAnsi" w:hAnsiTheme="minorHAnsi"/>
          <w:sz w:val="22"/>
          <w:szCs w:val="22"/>
        </w:rPr>
        <w:t xml:space="preserve">, </w:t>
      </w:r>
    </w:p>
    <w:p w:rsidR="00527217" w:rsidRPr="00527217" w:rsidRDefault="00527217" w:rsidP="0090111E">
      <w:pPr>
        <w:pStyle w:val="Default"/>
        <w:jc w:val="both"/>
        <w:rPr>
          <w:rFonts w:asciiTheme="minorHAnsi" w:hAnsiTheme="minorHAnsi"/>
          <w:sz w:val="22"/>
          <w:szCs w:val="22"/>
        </w:rPr>
      </w:pPr>
      <w:r w:rsidRPr="00527217">
        <w:rPr>
          <w:rFonts w:asciiTheme="minorHAnsi" w:hAnsiTheme="minorHAnsi"/>
          <w:sz w:val="22"/>
          <w:szCs w:val="22"/>
        </w:rPr>
        <w:t>b) wynagrodzenie  na  podstawie  umowy  o  dzieło  wskaz</w:t>
      </w:r>
      <w:r>
        <w:rPr>
          <w:rFonts w:asciiTheme="minorHAnsi" w:hAnsiTheme="minorHAnsi"/>
          <w:sz w:val="22"/>
          <w:szCs w:val="22"/>
        </w:rPr>
        <w:t xml:space="preserve">ane  zostało  w  zatwierdzonym  </w:t>
      </w:r>
      <w:r w:rsidRPr="00527217">
        <w:rPr>
          <w:rFonts w:asciiTheme="minorHAnsi" w:hAnsiTheme="minorHAnsi"/>
          <w:sz w:val="22"/>
          <w:szCs w:val="22"/>
        </w:rPr>
        <w:t xml:space="preserve">wniosku o dofinansowanie projektu, </w:t>
      </w:r>
    </w:p>
    <w:p w:rsidR="00527217" w:rsidRDefault="00527217" w:rsidP="0090111E">
      <w:pPr>
        <w:pStyle w:val="Default"/>
        <w:jc w:val="both"/>
        <w:rPr>
          <w:rFonts w:asciiTheme="minorHAnsi" w:hAnsiTheme="minorHAnsi"/>
          <w:sz w:val="22"/>
          <w:szCs w:val="22"/>
        </w:rPr>
      </w:pPr>
      <w:r>
        <w:rPr>
          <w:rFonts w:asciiTheme="minorHAnsi" w:hAnsiTheme="minorHAnsi"/>
          <w:sz w:val="22"/>
          <w:szCs w:val="22"/>
        </w:rPr>
        <w:t>c)  rozliczenie  zaangaż</w:t>
      </w:r>
      <w:r w:rsidRPr="00527217">
        <w:rPr>
          <w:rFonts w:asciiTheme="minorHAnsi" w:hAnsiTheme="minorHAnsi"/>
          <w:sz w:val="22"/>
          <w:szCs w:val="22"/>
        </w:rPr>
        <w:t>owania  zawodowego  perso</w:t>
      </w:r>
      <w:r>
        <w:rPr>
          <w:rFonts w:asciiTheme="minorHAnsi" w:hAnsiTheme="minorHAnsi"/>
          <w:sz w:val="22"/>
          <w:szCs w:val="22"/>
        </w:rPr>
        <w:t xml:space="preserve">nelu  następuje  na  podstawie  </w:t>
      </w:r>
      <w:r w:rsidRPr="00527217">
        <w:rPr>
          <w:rFonts w:asciiTheme="minorHAnsi" w:hAnsiTheme="minorHAnsi"/>
          <w:sz w:val="22"/>
          <w:szCs w:val="22"/>
        </w:rPr>
        <w:t>protokołu,  o  którym  mowa  w  podrozdziale  6.16  pkt  8  lit.  c, w</w:t>
      </w:r>
      <w:r>
        <w:rPr>
          <w:rFonts w:asciiTheme="minorHAnsi" w:hAnsiTheme="minorHAnsi"/>
          <w:sz w:val="22"/>
          <w:szCs w:val="22"/>
        </w:rPr>
        <w:t xml:space="preserve">skazującego  wynik  </w:t>
      </w:r>
      <w:r w:rsidRPr="00527217">
        <w:rPr>
          <w:rFonts w:asciiTheme="minorHAnsi" w:hAnsiTheme="minorHAnsi"/>
          <w:sz w:val="22"/>
          <w:szCs w:val="22"/>
        </w:rPr>
        <w:t>rzeczowy  wykonanego  dzieła,  oraz  dokumentu</w:t>
      </w:r>
      <w:r>
        <w:rPr>
          <w:rFonts w:asciiTheme="minorHAnsi" w:hAnsiTheme="minorHAnsi"/>
          <w:sz w:val="22"/>
          <w:szCs w:val="22"/>
        </w:rPr>
        <w:t xml:space="preserve">  księgowego  potwierdzającego  </w:t>
      </w:r>
      <w:r w:rsidRPr="00527217">
        <w:rPr>
          <w:rFonts w:asciiTheme="minorHAnsi" w:hAnsiTheme="minorHAnsi"/>
          <w:sz w:val="22"/>
          <w:szCs w:val="22"/>
        </w:rPr>
        <w:t>poniesienie wydatku</w:t>
      </w:r>
    </w:p>
    <w:p w:rsidR="00527217" w:rsidRDefault="00527217" w:rsidP="0090111E">
      <w:pPr>
        <w:pStyle w:val="Default"/>
        <w:jc w:val="both"/>
        <w:rPr>
          <w:rFonts w:asciiTheme="minorHAnsi" w:hAnsiTheme="minorHAnsi"/>
          <w:sz w:val="22"/>
          <w:szCs w:val="22"/>
        </w:rPr>
      </w:pPr>
    </w:p>
    <w:p w:rsidR="007A4D3D" w:rsidRPr="00527217" w:rsidRDefault="002A5B4B" w:rsidP="0090111E">
      <w:pPr>
        <w:pStyle w:val="Default"/>
        <w:jc w:val="both"/>
        <w:rPr>
          <w:rFonts w:asciiTheme="minorHAnsi" w:hAnsiTheme="minorHAnsi"/>
          <w:b/>
          <w:sz w:val="22"/>
          <w:szCs w:val="22"/>
        </w:rPr>
      </w:pPr>
      <w:r>
        <w:rPr>
          <w:rFonts w:asciiTheme="minorHAnsi" w:hAnsiTheme="minorHAnsi"/>
          <w:b/>
          <w:sz w:val="22"/>
          <w:szCs w:val="22"/>
        </w:rPr>
        <w:t>Samozatrudnienie</w:t>
      </w:r>
    </w:p>
    <w:p w:rsidR="00815531" w:rsidRPr="00143514" w:rsidRDefault="00815531" w:rsidP="0090111E">
      <w:pPr>
        <w:autoSpaceDE w:val="0"/>
        <w:autoSpaceDN w:val="0"/>
        <w:adjustRightInd w:val="0"/>
        <w:spacing w:after="0" w:line="240" w:lineRule="auto"/>
        <w:jc w:val="both"/>
        <w:rPr>
          <w:rFonts w:cs="Calibri"/>
          <w:color w:val="000000"/>
        </w:rPr>
      </w:pPr>
      <w:r w:rsidRPr="00143514">
        <w:rPr>
          <w:rFonts w:cs="Calibri"/>
          <w:b/>
          <w:bCs/>
          <w:color w:val="000000"/>
        </w:rPr>
        <w:t>Właściciele spółek oraz osoby fizyczne prowadzące jednoosobową działalność gospodarczą</w:t>
      </w:r>
      <w:r w:rsidRPr="00143514">
        <w:rPr>
          <w:rFonts w:cs="Calibri"/>
          <w:color w:val="000000"/>
        </w:rPr>
        <w:t xml:space="preserve">, którzy nie pobierają za wykonywaną pracę wynagrodzenia (są finansowani z zysku), </w:t>
      </w:r>
      <w:r w:rsidRPr="00143514">
        <w:rPr>
          <w:rFonts w:cs="Calibri"/>
          <w:b/>
          <w:bCs/>
          <w:color w:val="000000"/>
        </w:rPr>
        <w:t>mogą rozliczać koszty swojej pracy przy prowadzeniu badań przemysłowych lub prac rozwojowych w ramach projektu zgodnie z poniższymi zasadami</w:t>
      </w:r>
      <w:r w:rsidRPr="00143514">
        <w:rPr>
          <w:rFonts w:cs="Calibri"/>
          <w:color w:val="000000"/>
        </w:rPr>
        <w:t xml:space="preserve">: </w:t>
      </w:r>
    </w:p>
    <w:p w:rsidR="00143514" w:rsidRPr="00143514" w:rsidRDefault="00143514" w:rsidP="0090111E">
      <w:pPr>
        <w:autoSpaceDE w:val="0"/>
        <w:autoSpaceDN w:val="0"/>
        <w:adjustRightInd w:val="0"/>
        <w:spacing w:after="0" w:line="240" w:lineRule="auto"/>
        <w:jc w:val="both"/>
        <w:rPr>
          <w:rFonts w:cs="Calibri"/>
          <w:color w:val="000000"/>
        </w:rPr>
      </w:pPr>
    </w:p>
    <w:p w:rsidR="00815531" w:rsidRPr="00143514" w:rsidRDefault="00815531" w:rsidP="0090111E">
      <w:pPr>
        <w:autoSpaceDE w:val="0"/>
        <w:autoSpaceDN w:val="0"/>
        <w:adjustRightInd w:val="0"/>
        <w:spacing w:after="0" w:line="240" w:lineRule="auto"/>
        <w:jc w:val="both"/>
        <w:rPr>
          <w:rFonts w:cs="Calibri"/>
          <w:color w:val="000000"/>
        </w:rPr>
      </w:pPr>
      <w:r w:rsidRPr="00143514">
        <w:rPr>
          <w:rFonts w:cs="Calibri"/>
          <w:b/>
          <w:bCs/>
          <w:color w:val="000000"/>
        </w:rPr>
        <w:t xml:space="preserve">1. </w:t>
      </w:r>
      <w:r w:rsidRPr="00143514">
        <w:rPr>
          <w:rFonts w:cs="Calibri"/>
          <w:color w:val="000000"/>
        </w:rPr>
        <w:t xml:space="preserve">Koszty pracy właściciela spółki lub osoby fizycznej prowadzącej jednoosobową działalność gospodarczą należy </w:t>
      </w:r>
      <w:r w:rsidRPr="00143514">
        <w:rPr>
          <w:rFonts w:cs="Calibri"/>
          <w:b/>
          <w:bCs/>
          <w:color w:val="000000"/>
        </w:rPr>
        <w:t>rozliczać według stawki godzinowej</w:t>
      </w:r>
      <w:r w:rsidRPr="00143514">
        <w:rPr>
          <w:rFonts w:cs="Calibri"/>
          <w:color w:val="000000"/>
        </w:rPr>
        <w:t xml:space="preserve">. </w:t>
      </w:r>
    </w:p>
    <w:p w:rsidR="00815531" w:rsidRPr="00143514" w:rsidRDefault="00815531" w:rsidP="0090111E">
      <w:pPr>
        <w:autoSpaceDE w:val="0"/>
        <w:autoSpaceDN w:val="0"/>
        <w:adjustRightInd w:val="0"/>
        <w:spacing w:after="0" w:line="240" w:lineRule="auto"/>
        <w:jc w:val="both"/>
        <w:rPr>
          <w:rFonts w:cs="Calibri"/>
          <w:color w:val="000000"/>
        </w:rPr>
      </w:pPr>
      <w:r w:rsidRPr="00143514">
        <w:rPr>
          <w:rFonts w:cs="Calibri"/>
          <w:b/>
          <w:bCs/>
          <w:color w:val="000000"/>
        </w:rPr>
        <w:t xml:space="preserve">2. </w:t>
      </w:r>
      <w:r w:rsidRPr="00143514">
        <w:rPr>
          <w:rFonts w:cs="Calibri"/>
          <w:color w:val="000000"/>
        </w:rPr>
        <w:t xml:space="preserve">Powyższą stawkę godzinową </w:t>
      </w:r>
      <w:r w:rsidRPr="00143514">
        <w:rPr>
          <w:rFonts w:cs="Calibri"/>
          <w:b/>
          <w:bCs/>
          <w:color w:val="000000"/>
        </w:rPr>
        <w:t>należy wyliczyć w następujący sposób</w:t>
      </w:r>
      <w:r w:rsidRPr="00143514">
        <w:rPr>
          <w:rFonts w:cs="Calibri"/>
          <w:color w:val="000000"/>
        </w:rPr>
        <w:t xml:space="preserve">: </w:t>
      </w:r>
    </w:p>
    <w:p w:rsidR="00815531" w:rsidRPr="00143514" w:rsidRDefault="00815531" w:rsidP="0090111E">
      <w:pPr>
        <w:autoSpaceDE w:val="0"/>
        <w:autoSpaceDN w:val="0"/>
        <w:adjustRightInd w:val="0"/>
        <w:spacing w:after="0" w:line="240" w:lineRule="auto"/>
        <w:jc w:val="both"/>
        <w:rPr>
          <w:rFonts w:cs="Calibri"/>
          <w:color w:val="000000"/>
        </w:rPr>
      </w:pPr>
      <w:r w:rsidRPr="00143514">
        <w:rPr>
          <w:rFonts w:cs="Calibri"/>
          <w:color w:val="000000"/>
        </w:rPr>
        <w:t xml:space="preserve">gdzie: </w:t>
      </w:r>
    </w:p>
    <w:p w:rsidR="00815531" w:rsidRPr="00143514" w:rsidRDefault="00815531" w:rsidP="0090111E">
      <w:pPr>
        <w:autoSpaceDE w:val="0"/>
        <w:autoSpaceDN w:val="0"/>
        <w:adjustRightInd w:val="0"/>
        <w:spacing w:after="0" w:line="240" w:lineRule="auto"/>
        <w:jc w:val="both"/>
        <w:rPr>
          <w:rFonts w:cs="Calibri"/>
          <w:color w:val="000000"/>
        </w:rPr>
      </w:pPr>
    </w:p>
    <w:p w:rsidR="00815531" w:rsidRPr="00143514" w:rsidRDefault="00815531" w:rsidP="0090111E">
      <w:pPr>
        <w:autoSpaceDE w:val="0"/>
        <w:autoSpaceDN w:val="0"/>
        <w:adjustRightInd w:val="0"/>
        <w:spacing w:after="0" w:line="240" w:lineRule="auto"/>
        <w:jc w:val="both"/>
        <w:rPr>
          <w:rFonts w:cs="Calibri"/>
          <w:color w:val="000000"/>
          <w:sz w:val="36"/>
          <w:szCs w:val="36"/>
        </w:rPr>
      </w:pPr>
      <w:r w:rsidRPr="00143514">
        <w:rPr>
          <w:rFonts w:cs="Calibri"/>
          <w:color w:val="000000"/>
          <w:sz w:val="36"/>
          <w:szCs w:val="36"/>
        </w:rPr>
        <w:t>SG = D/1720</w:t>
      </w:r>
    </w:p>
    <w:p w:rsidR="00815531" w:rsidRPr="00143514" w:rsidRDefault="00815531" w:rsidP="0090111E">
      <w:pPr>
        <w:autoSpaceDE w:val="0"/>
        <w:autoSpaceDN w:val="0"/>
        <w:adjustRightInd w:val="0"/>
        <w:spacing w:after="0" w:line="240" w:lineRule="auto"/>
        <w:jc w:val="both"/>
        <w:rPr>
          <w:rFonts w:cs="Calibri"/>
          <w:color w:val="000000"/>
        </w:rPr>
      </w:pPr>
    </w:p>
    <w:p w:rsidR="00815531" w:rsidRPr="00143514" w:rsidRDefault="00815531" w:rsidP="0090111E">
      <w:pPr>
        <w:autoSpaceDE w:val="0"/>
        <w:autoSpaceDN w:val="0"/>
        <w:adjustRightInd w:val="0"/>
        <w:spacing w:after="0" w:line="240" w:lineRule="auto"/>
        <w:jc w:val="both"/>
        <w:rPr>
          <w:rFonts w:cs="Calibri"/>
          <w:color w:val="000000"/>
        </w:rPr>
      </w:pPr>
      <w:r w:rsidRPr="00143514">
        <w:rPr>
          <w:rFonts w:cs="Calibri"/>
          <w:b/>
          <w:bCs/>
          <w:color w:val="000000"/>
        </w:rPr>
        <w:t xml:space="preserve">SG </w:t>
      </w:r>
      <w:r w:rsidRPr="00143514">
        <w:rPr>
          <w:rFonts w:cs="Calibri"/>
          <w:color w:val="000000"/>
        </w:rPr>
        <w:t xml:space="preserve">– stawka godzinowa; </w:t>
      </w:r>
    </w:p>
    <w:p w:rsidR="00815531" w:rsidRPr="00143514" w:rsidRDefault="00815531" w:rsidP="0090111E">
      <w:pPr>
        <w:autoSpaceDE w:val="0"/>
        <w:autoSpaceDN w:val="0"/>
        <w:adjustRightInd w:val="0"/>
        <w:spacing w:after="0" w:line="240" w:lineRule="auto"/>
        <w:jc w:val="both"/>
        <w:rPr>
          <w:rFonts w:cs="Calibri"/>
          <w:color w:val="000000"/>
        </w:rPr>
      </w:pPr>
      <w:r w:rsidRPr="00143514">
        <w:rPr>
          <w:rFonts w:cs="Calibri"/>
          <w:b/>
          <w:bCs/>
          <w:color w:val="000000"/>
        </w:rPr>
        <w:t xml:space="preserve">D </w:t>
      </w:r>
      <w:r w:rsidRPr="00143514">
        <w:rPr>
          <w:rFonts w:cs="Calibri"/>
          <w:color w:val="000000"/>
        </w:rPr>
        <w:t>– dochód brutto z prowadzonej działalności gospodarczej za ostatni rok podatkowy wykazany w zeznaniu podatkowym PIT</w:t>
      </w:r>
      <w:r w:rsidR="00CE4DB3" w:rsidRPr="00143514">
        <w:rPr>
          <w:rFonts w:cs="Calibri"/>
          <w:color w:val="000000"/>
        </w:rPr>
        <w:t xml:space="preserve"> lub w innej dokumentacji księgowej</w:t>
      </w:r>
      <w:r w:rsidRPr="00143514">
        <w:rPr>
          <w:rFonts w:cs="Calibri"/>
          <w:color w:val="000000"/>
        </w:rPr>
        <w:t xml:space="preserve">; </w:t>
      </w:r>
    </w:p>
    <w:p w:rsidR="00815531" w:rsidRPr="00143514" w:rsidRDefault="00815531" w:rsidP="0090111E">
      <w:pPr>
        <w:autoSpaceDE w:val="0"/>
        <w:autoSpaceDN w:val="0"/>
        <w:adjustRightInd w:val="0"/>
        <w:spacing w:after="0" w:line="240" w:lineRule="auto"/>
        <w:jc w:val="both"/>
        <w:rPr>
          <w:rFonts w:cs="Calibri"/>
          <w:color w:val="000000"/>
        </w:rPr>
      </w:pPr>
      <w:r w:rsidRPr="00143514">
        <w:rPr>
          <w:rFonts w:cs="Calibri"/>
          <w:b/>
          <w:bCs/>
          <w:color w:val="000000"/>
        </w:rPr>
        <w:t xml:space="preserve">1 720 </w:t>
      </w:r>
      <w:r w:rsidRPr="00143514">
        <w:rPr>
          <w:rFonts w:cs="Calibri"/>
          <w:color w:val="000000"/>
        </w:rPr>
        <w:t xml:space="preserve">– standardowa roczna liczba efektywnych godzin pracy (roczna liczba godzin pracy pomniejszona o godziny pracy przypadające na urlop wypoczynkowy). </w:t>
      </w:r>
    </w:p>
    <w:p w:rsidR="00815531" w:rsidRPr="00143514" w:rsidRDefault="00815531" w:rsidP="0090111E">
      <w:pPr>
        <w:autoSpaceDE w:val="0"/>
        <w:autoSpaceDN w:val="0"/>
        <w:adjustRightInd w:val="0"/>
        <w:spacing w:after="0" w:line="240" w:lineRule="auto"/>
        <w:jc w:val="both"/>
        <w:rPr>
          <w:rFonts w:cs="Calibri"/>
          <w:color w:val="000000"/>
        </w:rPr>
      </w:pPr>
      <w:r w:rsidRPr="00143514">
        <w:rPr>
          <w:rFonts w:cs="Calibri"/>
          <w:b/>
          <w:bCs/>
          <w:color w:val="000000"/>
        </w:rPr>
        <w:t xml:space="preserve">3. </w:t>
      </w:r>
      <w:r w:rsidRPr="00143514">
        <w:rPr>
          <w:rFonts w:cs="Calibri"/>
          <w:color w:val="000000"/>
        </w:rPr>
        <w:t xml:space="preserve">Właściciel spółki lub osoba fizyczna prowadząca jednoosobową działalność gospodarczą </w:t>
      </w:r>
      <w:r w:rsidRPr="00143514">
        <w:rPr>
          <w:rFonts w:cs="Calibri"/>
          <w:b/>
          <w:bCs/>
          <w:color w:val="000000"/>
        </w:rPr>
        <w:t xml:space="preserve">musi posiadać odpowiednie kwalifikacje do prowadzenia badań przemysłowych lub prac rozwojowych </w:t>
      </w:r>
      <w:r w:rsidRPr="00143514">
        <w:rPr>
          <w:rFonts w:cs="Calibri"/>
          <w:color w:val="000000"/>
        </w:rPr>
        <w:t xml:space="preserve">w ramach projektu. </w:t>
      </w:r>
    </w:p>
    <w:p w:rsidR="00815531" w:rsidRPr="00143514" w:rsidRDefault="00815531" w:rsidP="0090111E">
      <w:pPr>
        <w:autoSpaceDE w:val="0"/>
        <w:autoSpaceDN w:val="0"/>
        <w:adjustRightInd w:val="0"/>
        <w:spacing w:after="0" w:line="240" w:lineRule="auto"/>
        <w:jc w:val="both"/>
        <w:rPr>
          <w:rFonts w:cs="Calibri"/>
          <w:color w:val="000000"/>
        </w:rPr>
      </w:pPr>
      <w:r w:rsidRPr="00143514">
        <w:rPr>
          <w:rFonts w:cs="Calibri"/>
          <w:b/>
          <w:bCs/>
          <w:color w:val="000000"/>
        </w:rPr>
        <w:t xml:space="preserve">4. Rozliczenie kosztów pracy </w:t>
      </w:r>
      <w:r w:rsidRPr="00143514">
        <w:rPr>
          <w:rFonts w:cs="Calibri"/>
          <w:color w:val="000000"/>
        </w:rPr>
        <w:t xml:space="preserve">właściciela spółki lub osoby fizycznej prowadzącej jednoosobową działalność gospodarczą następuje według ustalonej stawki godzinowej, </w:t>
      </w:r>
      <w:r w:rsidRPr="00143514">
        <w:rPr>
          <w:rFonts w:cs="Calibri"/>
          <w:b/>
          <w:bCs/>
          <w:color w:val="000000"/>
        </w:rPr>
        <w:t>w zależności od faktycznie przepracowanych godzin w projekcie</w:t>
      </w:r>
      <w:r w:rsidRPr="00143514">
        <w:rPr>
          <w:rFonts w:cs="Calibri"/>
          <w:color w:val="000000"/>
        </w:rPr>
        <w:t xml:space="preserve">: </w:t>
      </w:r>
    </w:p>
    <w:p w:rsidR="00815531" w:rsidRPr="00143514" w:rsidRDefault="00815531" w:rsidP="0090111E">
      <w:pPr>
        <w:autoSpaceDE w:val="0"/>
        <w:autoSpaceDN w:val="0"/>
        <w:adjustRightInd w:val="0"/>
        <w:spacing w:after="0" w:line="240" w:lineRule="auto"/>
        <w:jc w:val="both"/>
        <w:rPr>
          <w:rFonts w:cs="Calibri"/>
          <w:color w:val="000000"/>
        </w:rPr>
      </w:pPr>
      <w:r w:rsidRPr="00143514">
        <w:rPr>
          <w:rFonts w:cs="Calibri"/>
          <w:b/>
          <w:bCs/>
          <w:color w:val="000000"/>
        </w:rPr>
        <w:lastRenderedPageBreak/>
        <w:t xml:space="preserve">Koszt pracy </w:t>
      </w:r>
      <w:r w:rsidRPr="00143514">
        <w:rPr>
          <w:rFonts w:cs="Calibri"/>
          <w:color w:val="000000"/>
        </w:rPr>
        <w:t xml:space="preserve">= stawka godzinowa x liczba godzin przepracowanych na rzecz projektu zgodnie z kartą czasu pracy. </w:t>
      </w:r>
    </w:p>
    <w:p w:rsidR="00815531" w:rsidRPr="00143514" w:rsidRDefault="00815531" w:rsidP="0090111E">
      <w:pPr>
        <w:autoSpaceDE w:val="0"/>
        <w:autoSpaceDN w:val="0"/>
        <w:adjustRightInd w:val="0"/>
        <w:spacing w:after="120" w:line="240" w:lineRule="auto"/>
        <w:jc w:val="both"/>
        <w:rPr>
          <w:rFonts w:cs="Calibri"/>
          <w:color w:val="000000"/>
        </w:rPr>
      </w:pPr>
      <w:r w:rsidRPr="00143514">
        <w:rPr>
          <w:rFonts w:cs="Calibri"/>
          <w:b/>
          <w:bCs/>
          <w:color w:val="000000"/>
        </w:rPr>
        <w:t xml:space="preserve">5. </w:t>
      </w:r>
      <w:r w:rsidRPr="00143514">
        <w:rPr>
          <w:rFonts w:cs="Calibri"/>
          <w:color w:val="000000"/>
        </w:rPr>
        <w:t xml:space="preserve">W projekcie </w:t>
      </w:r>
      <w:r w:rsidRPr="00143514">
        <w:rPr>
          <w:rFonts w:cs="Calibri"/>
          <w:b/>
          <w:bCs/>
          <w:color w:val="000000"/>
        </w:rPr>
        <w:t xml:space="preserve">można rozliczyć maksymalnie </w:t>
      </w:r>
      <w:r w:rsidR="002A5B4B">
        <w:rPr>
          <w:rFonts w:cs="Calibri"/>
          <w:b/>
          <w:bCs/>
          <w:color w:val="000000"/>
        </w:rPr>
        <w:t>1290</w:t>
      </w:r>
      <w:r w:rsidRPr="00143514">
        <w:rPr>
          <w:rFonts w:cs="Calibri"/>
          <w:b/>
          <w:bCs/>
          <w:color w:val="000000"/>
        </w:rPr>
        <w:t>godzin pracy (1</w:t>
      </w:r>
      <w:r w:rsidR="002A5B4B">
        <w:rPr>
          <w:rFonts w:cs="Calibri"/>
          <w:b/>
          <w:bCs/>
          <w:color w:val="000000"/>
        </w:rPr>
        <w:t> </w:t>
      </w:r>
      <w:r w:rsidRPr="00143514">
        <w:rPr>
          <w:rFonts w:cs="Calibri"/>
          <w:b/>
          <w:bCs/>
          <w:color w:val="000000"/>
        </w:rPr>
        <w:t>720</w:t>
      </w:r>
      <w:r w:rsidR="002A5B4B">
        <w:rPr>
          <w:rFonts w:cs="Calibri"/>
          <w:b/>
          <w:bCs/>
          <w:color w:val="000000"/>
        </w:rPr>
        <w:t>*75%</w:t>
      </w:r>
      <w:r w:rsidRPr="00143514">
        <w:rPr>
          <w:rFonts w:cs="Calibri"/>
          <w:b/>
          <w:bCs/>
          <w:color w:val="000000"/>
        </w:rPr>
        <w:t xml:space="preserve">) w ciągu roku (maksymalnie </w:t>
      </w:r>
      <w:r w:rsidR="002A5B4B">
        <w:rPr>
          <w:rFonts w:cs="Calibri"/>
          <w:b/>
          <w:bCs/>
          <w:color w:val="000000"/>
        </w:rPr>
        <w:t>108</w:t>
      </w:r>
      <w:r w:rsidRPr="00143514">
        <w:rPr>
          <w:rFonts w:cs="Calibri"/>
          <w:b/>
          <w:bCs/>
          <w:color w:val="000000"/>
        </w:rPr>
        <w:t xml:space="preserve">godziny pracy w ciągu miesiąca) </w:t>
      </w:r>
      <w:r w:rsidRPr="00143514">
        <w:rPr>
          <w:rFonts w:cs="Calibri"/>
          <w:color w:val="000000"/>
        </w:rPr>
        <w:t>– ograniczenie to wynika z założenia, że projekt nie może stanowić jedynego przedmiotu działalności przedsiębiorstwa, tym samym obowiązki właściciela jednostki nie mogą dotyczyć wyłącznie badań wykonywanych w ramach projektu.</w:t>
      </w:r>
    </w:p>
    <w:p w:rsidR="00815531" w:rsidRPr="00143514" w:rsidRDefault="00A71456" w:rsidP="0090111E">
      <w:pPr>
        <w:pStyle w:val="Default"/>
        <w:jc w:val="both"/>
        <w:rPr>
          <w:rFonts w:asciiTheme="minorHAnsi" w:hAnsiTheme="minorHAnsi"/>
          <w:sz w:val="22"/>
          <w:szCs w:val="22"/>
        </w:rPr>
      </w:pPr>
      <w:r>
        <w:rPr>
          <w:rFonts w:asciiTheme="minorHAnsi" w:hAnsiTheme="minorHAnsi"/>
          <w:b/>
          <w:bCs/>
          <w:sz w:val="22"/>
          <w:szCs w:val="22"/>
        </w:rPr>
        <w:t>6</w:t>
      </w:r>
      <w:r w:rsidR="00815531" w:rsidRPr="00143514">
        <w:rPr>
          <w:rFonts w:asciiTheme="minorHAnsi" w:hAnsiTheme="minorHAnsi"/>
          <w:b/>
          <w:bCs/>
          <w:sz w:val="22"/>
          <w:szCs w:val="22"/>
        </w:rPr>
        <w:t xml:space="preserve">. </w:t>
      </w:r>
      <w:r w:rsidR="00815531" w:rsidRPr="00143514">
        <w:rPr>
          <w:rFonts w:asciiTheme="minorHAnsi" w:hAnsiTheme="minorHAnsi"/>
          <w:sz w:val="22"/>
          <w:szCs w:val="22"/>
        </w:rPr>
        <w:t xml:space="preserve">Poniesienie wydatku na koszty pracy właściciela spółki lub osoby fizycznej prowadzącej jednoosobową działalność gospodarczą jest dokumentowane dokumentem księgowym (np. notą obciążeniową) oraz kartą czasu pracy wskazującą liczbę godzin w danym miesiącu kalendarzowym poświęconych na wykonanie badań w projekcie. </w:t>
      </w:r>
    </w:p>
    <w:p w:rsidR="00815531" w:rsidRPr="00F04CB0" w:rsidRDefault="00A71456" w:rsidP="0090111E">
      <w:pPr>
        <w:autoSpaceDE w:val="0"/>
        <w:autoSpaceDN w:val="0"/>
        <w:adjustRightInd w:val="0"/>
        <w:spacing w:after="120" w:line="240" w:lineRule="auto"/>
        <w:jc w:val="both"/>
        <w:rPr>
          <w:rFonts w:cs="Arial"/>
        </w:rPr>
      </w:pPr>
      <w:r>
        <w:rPr>
          <w:b/>
          <w:bCs/>
        </w:rPr>
        <w:t>7</w:t>
      </w:r>
      <w:r w:rsidR="00815531" w:rsidRPr="00143514">
        <w:rPr>
          <w:b/>
          <w:bCs/>
        </w:rPr>
        <w:t xml:space="preserve">. </w:t>
      </w:r>
      <w:r w:rsidR="00815531" w:rsidRPr="00143514">
        <w:t xml:space="preserve">Sprawdzeniu będzie podlegać prawidłowość wyliczenia stawki godzinowej oraz dokumenty określone w pkt </w:t>
      </w:r>
      <w:r>
        <w:t>6</w:t>
      </w:r>
      <w:r w:rsidR="00815531" w:rsidRPr="00143514">
        <w:t>.</w:t>
      </w:r>
    </w:p>
    <w:p w:rsidR="00527217" w:rsidRDefault="00527217" w:rsidP="0090111E">
      <w:pPr>
        <w:pStyle w:val="Default"/>
        <w:jc w:val="both"/>
        <w:rPr>
          <w:rFonts w:asciiTheme="minorHAnsi" w:hAnsiTheme="minorHAnsi"/>
          <w:sz w:val="22"/>
          <w:szCs w:val="22"/>
        </w:rPr>
      </w:pPr>
    </w:p>
    <w:p w:rsidR="00527217" w:rsidRPr="00527217" w:rsidRDefault="00527217" w:rsidP="0090111E">
      <w:pPr>
        <w:pStyle w:val="Default"/>
        <w:jc w:val="both"/>
        <w:rPr>
          <w:rFonts w:asciiTheme="minorHAnsi" w:hAnsiTheme="minorHAnsi"/>
          <w:b/>
          <w:sz w:val="22"/>
          <w:szCs w:val="22"/>
        </w:rPr>
      </w:pPr>
      <w:r w:rsidRPr="00527217">
        <w:rPr>
          <w:rFonts w:asciiTheme="minorHAnsi" w:hAnsiTheme="minorHAnsi"/>
          <w:b/>
          <w:sz w:val="22"/>
          <w:szCs w:val="22"/>
        </w:rPr>
        <w:t xml:space="preserve">Powyższe warunki powinny być spełnione w całym okresie kwalifikowania wynagrodzenia danej osoby w projekcie. </w:t>
      </w:r>
    </w:p>
    <w:p w:rsidR="006C3AB9" w:rsidRPr="00F04CB0" w:rsidRDefault="006C3AB9" w:rsidP="0090111E">
      <w:pPr>
        <w:autoSpaceDE w:val="0"/>
        <w:autoSpaceDN w:val="0"/>
        <w:adjustRightInd w:val="0"/>
        <w:spacing w:after="120" w:line="240" w:lineRule="auto"/>
        <w:jc w:val="both"/>
        <w:rPr>
          <w:rFonts w:cs="Arial"/>
        </w:rPr>
      </w:pPr>
    </w:p>
    <w:p w:rsidR="00C11A46" w:rsidRPr="00F04CB0" w:rsidRDefault="00C11A46" w:rsidP="0090111E">
      <w:pPr>
        <w:autoSpaceDE w:val="0"/>
        <w:autoSpaceDN w:val="0"/>
        <w:adjustRightInd w:val="0"/>
        <w:spacing w:after="120" w:line="240" w:lineRule="auto"/>
        <w:jc w:val="both"/>
        <w:rPr>
          <w:rFonts w:cs="Arial"/>
        </w:rPr>
      </w:pPr>
    </w:p>
    <w:p w:rsidR="001E1DD3" w:rsidRPr="00D61417" w:rsidRDefault="001E1DD3" w:rsidP="0090111E">
      <w:pPr>
        <w:pStyle w:val="Akapitzlist"/>
        <w:numPr>
          <w:ilvl w:val="0"/>
          <w:numId w:val="21"/>
        </w:numPr>
        <w:autoSpaceDE w:val="0"/>
        <w:autoSpaceDN w:val="0"/>
        <w:adjustRightInd w:val="0"/>
        <w:spacing w:after="120" w:line="240" w:lineRule="auto"/>
        <w:ind w:left="284" w:hanging="284"/>
        <w:jc w:val="both"/>
        <w:rPr>
          <w:rFonts w:cs="Arial"/>
          <w:b/>
        </w:rPr>
      </w:pPr>
      <w:r w:rsidRPr="00D61417">
        <w:rPr>
          <w:rFonts w:cs="Arial"/>
          <w:b/>
        </w:rPr>
        <w:t>K</w:t>
      </w:r>
      <w:r w:rsidR="00BD01C4" w:rsidRPr="00D61417">
        <w:rPr>
          <w:rFonts w:cs="Arial"/>
          <w:b/>
        </w:rPr>
        <w:t xml:space="preserve">oszty  </w:t>
      </w:r>
      <w:r w:rsidR="00EF5DB6" w:rsidRPr="00D61417">
        <w:rPr>
          <w:rFonts w:cs="Arial"/>
          <w:b/>
        </w:rPr>
        <w:t xml:space="preserve">wynajmu i amortyzacji </w:t>
      </w:r>
      <w:r w:rsidR="00BD01C4" w:rsidRPr="00D61417">
        <w:rPr>
          <w:rFonts w:cs="Arial"/>
          <w:b/>
        </w:rPr>
        <w:t>aparatury</w:t>
      </w:r>
      <w:r w:rsidR="00343C71" w:rsidRPr="00D61417">
        <w:rPr>
          <w:rFonts w:cs="Arial"/>
          <w:b/>
        </w:rPr>
        <w:t>,</w:t>
      </w:r>
      <w:r w:rsidR="00C72FB8">
        <w:rPr>
          <w:rFonts w:cs="Arial"/>
          <w:b/>
        </w:rPr>
        <w:t xml:space="preserve"> </w:t>
      </w:r>
      <w:r w:rsidR="00BD01C4" w:rsidRPr="00D61417">
        <w:rPr>
          <w:rFonts w:cs="Arial"/>
          <w:b/>
        </w:rPr>
        <w:t xml:space="preserve">sprzętu </w:t>
      </w:r>
      <w:r w:rsidR="00EF5DB6" w:rsidRPr="00D61417">
        <w:rPr>
          <w:rFonts w:cs="Arial"/>
          <w:b/>
        </w:rPr>
        <w:t>oraz koszty dotyczące WNiP.</w:t>
      </w:r>
    </w:p>
    <w:p w:rsidR="001E1DD3" w:rsidRDefault="001E1DD3" w:rsidP="0090111E">
      <w:pPr>
        <w:autoSpaceDE w:val="0"/>
        <w:autoSpaceDN w:val="0"/>
        <w:adjustRightInd w:val="0"/>
        <w:spacing w:after="120" w:line="240" w:lineRule="auto"/>
        <w:jc w:val="both"/>
        <w:rPr>
          <w:rFonts w:cs="Arial"/>
        </w:rPr>
      </w:pPr>
      <w:r w:rsidRPr="001E1DD3">
        <w:rPr>
          <w:rFonts w:cs="Arial"/>
        </w:rPr>
        <w:t xml:space="preserve">Koszty </w:t>
      </w:r>
      <w:r w:rsidR="00805146">
        <w:rPr>
          <w:rFonts w:cs="Arial"/>
        </w:rPr>
        <w:t>wynajmu i amortyzacji</w:t>
      </w:r>
      <w:r w:rsidRPr="001E1DD3">
        <w:rPr>
          <w:rFonts w:cs="Arial"/>
        </w:rPr>
        <w:t xml:space="preserve"> aparatury</w:t>
      </w:r>
      <w:r w:rsidR="00EF5DB6">
        <w:rPr>
          <w:rFonts w:cs="Arial"/>
        </w:rPr>
        <w:t>,</w:t>
      </w:r>
      <w:r w:rsidR="006B0A7B">
        <w:rPr>
          <w:rFonts w:cs="Arial"/>
        </w:rPr>
        <w:t xml:space="preserve"> </w:t>
      </w:r>
      <w:r w:rsidRPr="001E1DD3">
        <w:rPr>
          <w:rFonts w:cs="Arial"/>
        </w:rPr>
        <w:t xml:space="preserve">sprzętu </w:t>
      </w:r>
      <w:r w:rsidR="00EF5DB6">
        <w:rPr>
          <w:rFonts w:cs="Arial"/>
        </w:rPr>
        <w:t>oraz WNiP</w:t>
      </w:r>
      <w:r w:rsidR="006B0A7B">
        <w:rPr>
          <w:rFonts w:cs="Arial"/>
        </w:rPr>
        <w:t xml:space="preserve"> </w:t>
      </w:r>
      <w:r>
        <w:rPr>
          <w:rFonts w:cs="Arial"/>
        </w:rPr>
        <w:t xml:space="preserve">mogą stanowić wydatki kwalifikowalne </w:t>
      </w:r>
      <w:r w:rsidR="00BD01C4" w:rsidRPr="001E1DD3">
        <w:rPr>
          <w:rFonts w:cs="Arial"/>
        </w:rPr>
        <w:t xml:space="preserve">w zakresie i przez okres, w jakim są one wykorzystywane na potrzeby projektu. </w:t>
      </w:r>
    </w:p>
    <w:p w:rsidR="00BD01C4" w:rsidRPr="001E1DD3" w:rsidRDefault="00BD01C4" w:rsidP="0090111E">
      <w:pPr>
        <w:autoSpaceDE w:val="0"/>
        <w:autoSpaceDN w:val="0"/>
        <w:adjustRightInd w:val="0"/>
        <w:spacing w:after="120" w:line="240" w:lineRule="auto"/>
        <w:jc w:val="both"/>
        <w:rPr>
          <w:rFonts w:cs="Arial"/>
        </w:rPr>
      </w:pPr>
      <w:r w:rsidRPr="001E1DD3">
        <w:rPr>
          <w:rFonts w:cs="Arial"/>
        </w:rPr>
        <w:t xml:space="preserve">Jeśli aparatura i sprzęt nie są wykorzystywane na potrzeby projektu przez cały okres ich użytkowania, za koszty kwalifikowalne uznaje się tylko koszty </w:t>
      </w:r>
      <w:r w:rsidR="00805146">
        <w:rPr>
          <w:rFonts w:cs="Arial"/>
        </w:rPr>
        <w:t xml:space="preserve">wynajmu lub </w:t>
      </w:r>
      <w:r w:rsidRPr="001E1DD3">
        <w:rPr>
          <w:rFonts w:cs="Arial"/>
        </w:rPr>
        <w:t>amortyzacji odpowiadające okresowi realizacji projektu obliczone na podstawie powszechnie</w:t>
      </w:r>
      <w:r w:rsidR="001E1DD3">
        <w:rPr>
          <w:rFonts w:cs="Arial"/>
        </w:rPr>
        <w:t xml:space="preserve"> przyjętych zasad rachunkowości.</w:t>
      </w:r>
    </w:p>
    <w:p w:rsidR="004B11F3" w:rsidRPr="00805146" w:rsidRDefault="00E8644C" w:rsidP="0090111E">
      <w:pPr>
        <w:pStyle w:val="Default"/>
        <w:jc w:val="both"/>
        <w:rPr>
          <w:rFonts w:asciiTheme="minorHAnsi" w:hAnsiTheme="minorHAnsi"/>
          <w:b/>
          <w:bCs/>
          <w:sz w:val="22"/>
          <w:szCs w:val="22"/>
        </w:rPr>
      </w:pPr>
      <w:r w:rsidRPr="00805146">
        <w:rPr>
          <w:rFonts w:asciiTheme="minorHAnsi" w:hAnsiTheme="minorHAnsi"/>
          <w:b/>
          <w:sz w:val="22"/>
          <w:szCs w:val="22"/>
        </w:rPr>
        <w:t>Za koszty</w:t>
      </w:r>
      <w:r w:rsidR="00C72FB8">
        <w:rPr>
          <w:rFonts w:asciiTheme="minorHAnsi" w:hAnsiTheme="minorHAnsi"/>
          <w:b/>
          <w:sz w:val="22"/>
          <w:szCs w:val="22"/>
        </w:rPr>
        <w:t xml:space="preserve"> </w:t>
      </w:r>
      <w:r w:rsidR="006C3AB9" w:rsidRPr="00805146">
        <w:rPr>
          <w:rFonts w:asciiTheme="minorHAnsi" w:hAnsiTheme="minorHAnsi"/>
          <w:b/>
          <w:bCs/>
          <w:sz w:val="22"/>
          <w:szCs w:val="22"/>
        </w:rPr>
        <w:t xml:space="preserve">kwalifikowane </w:t>
      </w:r>
      <w:r w:rsidRPr="00805146">
        <w:rPr>
          <w:rFonts w:asciiTheme="minorHAnsi" w:hAnsiTheme="minorHAnsi"/>
          <w:b/>
          <w:bCs/>
          <w:sz w:val="22"/>
          <w:szCs w:val="22"/>
        </w:rPr>
        <w:t>uznaje</w:t>
      </w:r>
      <w:r w:rsidR="004B11F3" w:rsidRPr="00805146">
        <w:rPr>
          <w:rFonts w:asciiTheme="minorHAnsi" w:hAnsiTheme="minorHAnsi"/>
          <w:b/>
          <w:bCs/>
          <w:sz w:val="22"/>
          <w:szCs w:val="22"/>
        </w:rPr>
        <w:t xml:space="preserve"> się:</w:t>
      </w:r>
    </w:p>
    <w:p w:rsidR="006C3AB9" w:rsidRPr="00805146" w:rsidRDefault="004B11F3" w:rsidP="0090111E">
      <w:pPr>
        <w:pStyle w:val="Default"/>
        <w:numPr>
          <w:ilvl w:val="0"/>
          <w:numId w:val="33"/>
        </w:numPr>
        <w:ind w:left="284" w:hanging="284"/>
        <w:jc w:val="both"/>
        <w:rPr>
          <w:rFonts w:asciiTheme="minorHAnsi" w:hAnsiTheme="minorHAnsi"/>
          <w:sz w:val="22"/>
          <w:szCs w:val="22"/>
        </w:rPr>
      </w:pPr>
      <w:r w:rsidRPr="00805146">
        <w:rPr>
          <w:rFonts w:asciiTheme="minorHAnsi" w:hAnsiTheme="minorHAnsi"/>
          <w:bCs/>
          <w:sz w:val="22"/>
          <w:szCs w:val="22"/>
        </w:rPr>
        <w:t xml:space="preserve"> O</w:t>
      </w:r>
      <w:r w:rsidR="006C3AB9" w:rsidRPr="00805146">
        <w:rPr>
          <w:rFonts w:asciiTheme="minorHAnsi" w:hAnsiTheme="minorHAnsi"/>
          <w:bCs/>
          <w:sz w:val="22"/>
          <w:szCs w:val="22"/>
        </w:rPr>
        <w:t xml:space="preserve">dpisy amortyzacyjne lub koszty odpłatnego korzystania </w:t>
      </w:r>
      <w:r w:rsidRPr="00805146">
        <w:rPr>
          <w:rFonts w:asciiTheme="minorHAnsi" w:hAnsiTheme="minorHAnsi"/>
          <w:sz w:val="22"/>
          <w:szCs w:val="22"/>
        </w:rPr>
        <w:t xml:space="preserve">z </w:t>
      </w:r>
      <w:r w:rsidR="006C3AB9" w:rsidRPr="00805146">
        <w:rPr>
          <w:rFonts w:asciiTheme="minorHAnsi" w:hAnsiTheme="minorHAnsi"/>
          <w:bCs/>
          <w:sz w:val="22"/>
          <w:szCs w:val="22"/>
        </w:rPr>
        <w:t xml:space="preserve">aparatury naukowo-badawczej </w:t>
      </w:r>
      <w:r w:rsidR="006C3AB9" w:rsidRPr="00805146">
        <w:rPr>
          <w:rFonts w:asciiTheme="minorHAnsi" w:hAnsiTheme="minorHAnsi"/>
          <w:sz w:val="22"/>
          <w:szCs w:val="22"/>
        </w:rPr>
        <w:t xml:space="preserve">i innych urządzeń służących celom badawczym; </w:t>
      </w:r>
    </w:p>
    <w:p w:rsidR="004B11F3" w:rsidRPr="00805146" w:rsidRDefault="004B11F3" w:rsidP="0090111E">
      <w:pPr>
        <w:pStyle w:val="Default"/>
        <w:numPr>
          <w:ilvl w:val="0"/>
          <w:numId w:val="33"/>
        </w:numPr>
        <w:ind w:left="284" w:hanging="284"/>
        <w:jc w:val="both"/>
        <w:rPr>
          <w:rFonts w:asciiTheme="minorHAnsi" w:hAnsiTheme="minorHAnsi"/>
          <w:sz w:val="22"/>
          <w:szCs w:val="22"/>
        </w:rPr>
      </w:pPr>
      <w:r w:rsidRPr="00805146">
        <w:rPr>
          <w:rFonts w:asciiTheme="minorHAnsi" w:hAnsiTheme="minorHAnsi"/>
          <w:bCs/>
          <w:sz w:val="22"/>
          <w:szCs w:val="22"/>
        </w:rPr>
        <w:t>Kos</w:t>
      </w:r>
      <w:r w:rsidR="009E29AD" w:rsidRPr="00805146">
        <w:rPr>
          <w:rFonts w:asciiTheme="minorHAnsi" w:hAnsiTheme="minorHAnsi"/>
          <w:bCs/>
          <w:sz w:val="22"/>
          <w:szCs w:val="22"/>
        </w:rPr>
        <w:t xml:space="preserve">zt zakupu i dostosowania </w:t>
      </w:r>
      <w:r w:rsidR="009E29AD" w:rsidRPr="00805146">
        <w:rPr>
          <w:sz w:val="22"/>
          <w:szCs w:val="22"/>
        </w:rPr>
        <w:t xml:space="preserve">do wdrożenia </w:t>
      </w:r>
      <w:r w:rsidR="009E29AD" w:rsidRPr="00805146">
        <w:rPr>
          <w:rFonts w:asciiTheme="minorHAnsi" w:hAnsiTheme="minorHAnsi"/>
          <w:bCs/>
          <w:sz w:val="22"/>
          <w:szCs w:val="22"/>
        </w:rPr>
        <w:t>wyników prac B+R oraz praw własności intelektualnej</w:t>
      </w:r>
      <w:r w:rsidR="00D52D3E" w:rsidRPr="00805146">
        <w:rPr>
          <w:sz w:val="22"/>
          <w:szCs w:val="22"/>
        </w:rPr>
        <w:t>(m.in. patentów, licencji, know-how lub innej nieopatentowanej wiedzy technicznej).</w:t>
      </w:r>
    </w:p>
    <w:p w:rsidR="00D52D3E" w:rsidRPr="00805146" w:rsidRDefault="00D52D3E" w:rsidP="0090111E">
      <w:pPr>
        <w:pStyle w:val="Default"/>
        <w:ind w:left="284"/>
        <w:jc w:val="both"/>
        <w:rPr>
          <w:rFonts w:asciiTheme="minorHAnsi" w:hAnsiTheme="minorHAnsi"/>
          <w:sz w:val="22"/>
          <w:szCs w:val="22"/>
        </w:rPr>
      </w:pPr>
      <w:r w:rsidRPr="00805146">
        <w:rPr>
          <w:sz w:val="22"/>
          <w:szCs w:val="22"/>
        </w:rPr>
        <w:t>Wdrożenie (dostosowanie) zakupionych wyników prac B+R jest możliwe tylko w przypadku konieczności przeprowadzenia, uzupełniających/ dostosowujących technologie do specyfiki przedsiębiorstwa, eksperymentalnych prac rozwojowych.</w:t>
      </w:r>
    </w:p>
    <w:p w:rsidR="006C3AB9" w:rsidRPr="00805146" w:rsidRDefault="00D52D3E" w:rsidP="0090111E">
      <w:pPr>
        <w:pStyle w:val="Default"/>
        <w:numPr>
          <w:ilvl w:val="0"/>
          <w:numId w:val="33"/>
        </w:numPr>
        <w:ind w:left="284" w:hanging="284"/>
        <w:jc w:val="both"/>
        <w:rPr>
          <w:rFonts w:asciiTheme="minorHAnsi" w:hAnsiTheme="minorHAnsi"/>
          <w:sz w:val="22"/>
          <w:szCs w:val="22"/>
        </w:rPr>
      </w:pPr>
      <w:r w:rsidRPr="00805146">
        <w:rPr>
          <w:rFonts w:asciiTheme="minorHAnsi" w:hAnsiTheme="minorHAnsi"/>
          <w:bCs/>
          <w:sz w:val="22"/>
          <w:szCs w:val="22"/>
        </w:rPr>
        <w:t xml:space="preserve">Odpisy amortyzacyjne lub koszty odpłatnego korzystania </w:t>
      </w:r>
      <w:r w:rsidRPr="00805146">
        <w:rPr>
          <w:rFonts w:asciiTheme="minorHAnsi" w:hAnsiTheme="minorHAnsi"/>
          <w:sz w:val="22"/>
          <w:szCs w:val="22"/>
        </w:rPr>
        <w:t xml:space="preserve">z </w:t>
      </w:r>
      <w:r w:rsidR="006C3AB9" w:rsidRPr="00805146">
        <w:rPr>
          <w:rFonts w:asciiTheme="minorHAnsi" w:hAnsiTheme="minorHAnsi"/>
          <w:sz w:val="22"/>
          <w:szCs w:val="22"/>
        </w:rPr>
        <w:t xml:space="preserve">wiedzy technicznej i patentów zakupionych lub użytkowanych na podstawie licencji </w:t>
      </w:r>
      <w:r w:rsidR="006C3AB9" w:rsidRPr="00805146">
        <w:rPr>
          <w:rFonts w:asciiTheme="minorHAnsi" w:hAnsiTheme="minorHAnsi"/>
          <w:bCs/>
          <w:sz w:val="22"/>
          <w:szCs w:val="22"/>
        </w:rPr>
        <w:t xml:space="preserve">uzyskanych od osób trzecich na warunkach rynkowych </w:t>
      </w:r>
      <w:r w:rsidR="006C3AB9" w:rsidRPr="00805146">
        <w:rPr>
          <w:rFonts w:asciiTheme="minorHAnsi" w:hAnsiTheme="minorHAnsi"/>
          <w:sz w:val="22"/>
          <w:szCs w:val="22"/>
        </w:rPr>
        <w:t xml:space="preserve">tj. </w:t>
      </w:r>
      <w:r w:rsidR="006C3AB9" w:rsidRPr="00805146">
        <w:rPr>
          <w:rFonts w:asciiTheme="minorHAnsi" w:hAnsiTheme="minorHAnsi"/>
          <w:bCs/>
          <w:sz w:val="22"/>
          <w:szCs w:val="22"/>
        </w:rPr>
        <w:t xml:space="preserve">wartości niematerialnych i prawnych (WNiP) </w:t>
      </w:r>
      <w:r w:rsidR="006C3AB9" w:rsidRPr="00805146">
        <w:rPr>
          <w:rFonts w:asciiTheme="minorHAnsi" w:hAnsiTheme="minorHAnsi"/>
          <w:sz w:val="22"/>
          <w:szCs w:val="22"/>
        </w:rPr>
        <w:t xml:space="preserve">w formie patentów, licencji, know-how, nieopatentowanej wiedzy technicznej, ekspertyz, analiz i raportów badawczych itp. </w:t>
      </w:r>
    </w:p>
    <w:p w:rsidR="006C3AB9" w:rsidRPr="00D52D3E" w:rsidRDefault="006C3AB9" w:rsidP="0090111E">
      <w:pPr>
        <w:pStyle w:val="Default"/>
        <w:jc w:val="both"/>
        <w:rPr>
          <w:rFonts w:asciiTheme="minorHAnsi" w:hAnsiTheme="minorHAnsi"/>
          <w:sz w:val="22"/>
          <w:szCs w:val="22"/>
        </w:rPr>
      </w:pPr>
      <w:r w:rsidRPr="00805146">
        <w:rPr>
          <w:rFonts w:asciiTheme="minorHAnsi" w:hAnsiTheme="minorHAnsi"/>
          <w:bCs/>
          <w:sz w:val="22"/>
          <w:szCs w:val="22"/>
        </w:rPr>
        <w:t>w zakresie niezbędnym i przez okres niezbędny do realizacji projektu objętego pomocą</w:t>
      </w:r>
      <w:r w:rsidRPr="00805146">
        <w:rPr>
          <w:rFonts w:asciiTheme="minorHAnsi" w:hAnsiTheme="minorHAnsi"/>
          <w:sz w:val="22"/>
          <w:szCs w:val="22"/>
        </w:rPr>
        <w:t>.</w:t>
      </w:r>
    </w:p>
    <w:p w:rsidR="00143514" w:rsidRPr="00D52D3E" w:rsidRDefault="00143514" w:rsidP="0090111E">
      <w:pPr>
        <w:pStyle w:val="Default"/>
        <w:jc w:val="both"/>
        <w:rPr>
          <w:rFonts w:asciiTheme="minorHAnsi" w:hAnsiTheme="minorHAnsi"/>
          <w:sz w:val="22"/>
          <w:szCs w:val="22"/>
          <w:highlight w:val="cyan"/>
        </w:rPr>
      </w:pPr>
    </w:p>
    <w:p w:rsidR="00805146" w:rsidRDefault="00805146" w:rsidP="0090111E">
      <w:pPr>
        <w:pStyle w:val="Default"/>
        <w:jc w:val="both"/>
        <w:rPr>
          <w:rFonts w:asciiTheme="minorHAnsi" w:hAnsiTheme="minorHAnsi"/>
          <w:sz w:val="22"/>
          <w:szCs w:val="22"/>
        </w:rPr>
      </w:pPr>
      <w:r w:rsidRPr="00E9633E">
        <w:rPr>
          <w:rFonts w:asciiTheme="minorHAnsi" w:hAnsiTheme="minorHAnsi"/>
          <w:sz w:val="22"/>
          <w:szCs w:val="22"/>
        </w:rPr>
        <w:t>Należy przy tym pamiętać, iż zakup lub odpłatne korzystanie z aparatury, sprzętu czy WNiP</w:t>
      </w:r>
      <w:r w:rsidR="00EC50A3">
        <w:rPr>
          <w:rFonts w:asciiTheme="minorHAnsi" w:hAnsiTheme="minorHAnsi"/>
          <w:sz w:val="22"/>
          <w:szCs w:val="22"/>
        </w:rPr>
        <w:t xml:space="preserve"> </w:t>
      </w:r>
      <w:r>
        <w:rPr>
          <w:rFonts w:asciiTheme="minorHAnsi" w:hAnsiTheme="minorHAnsi"/>
          <w:sz w:val="22"/>
          <w:szCs w:val="22"/>
        </w:rPr>
        <w:t xml:space="preserve">musi nastąpić w oparciu o </w:t>
      </w:r>
      <w:r w:rsidRPr="00843CCE">
        <w:rPr>
          <w:rFonts w:asciiTheme="minorHAnsi" w:hAnsiTheme="minorHAnsi"/>
          <w:sz w:val="22"/>
          <w:szCs w:val="22"/>
        </w:rPr>
        <w:t>Zasady obowiązujące podczas dokonywania  zamówień przy realizacji dostaw, usług i robót budowlanych w ramach Projektu</w:t>
      </w:r>
      <w:r>
        <w:rPr>
          <w:rFonts w:asciiTheme="minorHAnsi" w:hAnsiTheme="minorHAnsi"/>
          <w:sz w:val="22"/>
          <w:szCs w:val="22"/>
        </w:rPr>
        <w:t xml:space="preserve"> stanowiące zał</w:t>
      </w:r>
      <w:r w:rsidR="00E33DB9">
        <w:rPr>
          <w:rFonts w:asciiTheme="minorHAnsi" w:hAnsiTheme="minorHAnsi"/>
          <w:sz w:val="22"/>
          <w:szCs w:val="22"/>
        </w:rPr>
        <w:t>.</w:t>
      </w:r>
      <w:r>
        <w:rPr>
          <w:rFonts w:asciiTheme="minorHAnsi" w:hAnsiTheme="minorHAnsi"/>
          <w:sz w:val="22"/>
          <w:szCs w:val="22"/>
        </w:rPr>
        <w:t xml:space="preserve"> nr </w:t>
      </w:r>
      <w:r w:rsidR="00E33DB9">
        <w:rPr>
          <w:rFonts w:asciiTheme="minorHAnsi" w:hAnsiTheme="minorHAnsi"/>
          <w:sz w:val="22"/>
          <w:szCs w:val="22"/>
        </w:rPr>
        <w:t>10</w:t>
      </w:r>
      <w:r>
        <w:rPr>
          <w:rFonts w:asciiTheme="minorHAnsi" w:hAnsiTheme="minorHAnsi"/>
          <w:sz w:val="22"/>
          <w:szCs w:val="22"/>
        </w:rPr>
        <w:t xml:space="preserve"> do regulaminu konkursu</w:t>
      </w:r>
    </w:p>
    <w:p w:rsidR="00143514" w:rsidRDefault="00143514" w:rsidP="0090111E">
      <w:pPr>
        <w:pStyle w:val="Default"/>
        <w:jc w:val="both"/>
        <w:rPr>
          <w:rFonts w:asciiTheme="minorHAnsi" w:hAnsiTheme="minorHAnsi"/>
          <w:sz w:val="22"/>
          <w:szCs w:val="22"/>
        </w:rPr>
      </w:pPr>
    </w:p>
    <w:p w:rsidR="00143514" w:rsidRPr="00AD6C0A" w:rsidRDefault="00143514" w:rsidP="0090111E">
      <w:pPr>
        <w:pStyle w:val="Default"/>
        <w:jc w:val="both"/>
        <w:rPr>
          <w:rFonts w:asciiTheme="minorHAnsi" w:hAnsiTheme="minorHAnsi"/>
          <w:b/>
          <w:sz w:val="22"/>
          <w:szCs w:val="22"/>
        </w:rPr>
      </w:pPr>
      <w:r w:rsidRPr="00AD6C0A">
        <w:rPr>
          <w:rFonts w:asciiTheme="minorHAnsi" w:hAnsiTheme="minorHAnsi"/>
          <w:b/>
          <w:sz w:val="22"/>
          <w:szCs w:val="22"/>
        </w:rPr>
        <w:t xml:space="preserve">Odpisy amortyzacyjne z tytułu spadku wartości stanowią koszt kwalifikowany, jeżeli spełnione są łącznie następujące warunki: </w:t>
      </w:r>
    </w:p>
    <w:p w:rsidR="00AD6C0A" w:rsidRPr="00F04CB0" w:rsidRDefault="00AD6C0A" w:rsidP="0090111E">
      <w:pPr>
        <w:pStyle w:val="Default"/>
        <w:jc w:val="both"/>
        <w:rPr>
          <w:rFonts w:asciiTheme="minorHAnsi" w:hAnsiTheme="minorHAnsi"/>
          <w:sz w:val="22"/>
          <w:szCs w:val="22"/>
          <w:highlight w:val="cyan"/>
        </w:rPr>
      </w:pPr>
    </w:p>
    <w:p w:rsidR="00143514" w:rsidRPr="00AD6C0A" w:rsidRDefault="00143514" w:rsidP="0090111E">
      <w:pPr>
        <w:pStyle w:val="Default"/>
        <w:numPr>
          <w:ilvl w:val="0"/>
          <w:numId w:val="9"/>
        </w:numPr>
        <w:spacing w:after="30"/>
        <w:ind w:left="426" w:hanging="426"/>
        <w:jc w:val="both"/>
        <w:rPr>
          <w:rFonts w:asciiTheme="minorHAnsi" w:hAnsiTheme="minorHAnsi"/>
          <w:sz w:val="22"/>
          <w:szCs w:val="22"/>
        </w:rPr>
      </w:pPr>
      <w:r w:rsidRPr="00AD6C0A">
        <w:rPr>
          <w:rFonts w:asciiTheme="minorHAnsi" w:hAnsiTheme="minorHAnsi"/>
          <w:sz w:val="22"/>
          <w:szCs w:val="22"/>
        </w:rPr>
        <w:t xml:space="preserve">aparatura lub WNiP są niezbędne do prawidłowej realizacji projektu i są bezpośrednio wykorzystywane w związku z projektem; </w:t>
      </w:r>
    </w:p>
    <w:p w:rsidR="00143514" w:rsidRPr="00AD6C0A" w:rsidRDefault="00143514" w:rsidP="0090111E">
      <w:pPr>
        <w:pStyle w:val="Default"/>
        <w:numPr>
          <w:ilvl w:val="0"/>
          <w:numId w:val="9"/>
        </w:numPr>
        <w:spacing w:after="30"/>
        <w:ind w:left="426" w:hanging="426"/>
        <w:jc w:val="both"/>
        <w:rPr>
          <w:rFonts w:asciiTheme="minorHAnsi" w:hAnsiTheme="minorHAnsi"/>
          <w:sz w:val="22"/>
          <w:szCs w:val="22"/>
        </w:rPr>
      </w:pPr>
      <w:r w:rsidRPr="00AD6C0A">
        <w:rPr>
          <w:rFonts w:asciiTheme="minorHAnsi" w:hAnsiTheme="minorHAnsi"/>
          <w:sz w:val="22"/>
          <w:szCs w:val="22"/>
        </w:rPr>
        <w:t xml:space="preserve">aparatura, inne urządzenia (sprzęt) służące celom badawczym są ewidencjonowane w rejestrze środków trwałych podmiotów dokonujących ich zakupu; </w:t>
      </w:r>
    </w:p>
    <w:p w:rsidR="00143514" w:rsidRPr="00AD6C0A" w:rsidRDefault="00143514" w:rsidP="0090111E">
      <w:pPr>
        <w:pStyle w:val="Default"/>
        <w:numPr>
          <w:ilvl w:val="0"/>
          <w:numId w:val="9"/>
        </w:numPr>
        <w:spacing w:after="30"/>
        <w:ind w:left="426" w:hanging="426"/>
        <w:jc w:val="both"/>
        <w:rPr>
          <w:rFonts w:asciiTheme="minorHAnsi" w:hAnsiTheme="minorHAnsi"/>
          <w:sz w:val="22"/>
          <w:szCs w:val="22"/>
        </w:rPr>
      </w:pPr>
      <w:r w:rsidRPr="00AD6C0A">
        <w:rPr>
          <w:rFonts w:asciiTheme="minorHAnsi" w:hAnsiTheme="minorHAnsi"/>
          <w:sz w:val="22"/>
          <w:szCs w:val="22"/>
        </w:rPr>
        <w:t xml:space="preserve">odpisy amortyzacyjne zostały obliczone na podstawie przepisów o rachunkowości oraz zgodnie z polityką rachunkową podmiotu; </w:t>
      </w:r>
    </w:p>
    <w:p w:rsidR="00143514" w:rsidRPr="00AD6C0A" w:rsidRDefault="00143514" w:rsidP="0090111E">
      <w:pPr>
        <w:pStyle w:val="Default"/>
        <w:numPr>
          <w:ilvl w:val="0"/>
          <w:numId w:val="9"/>
        </w:numPr>
        <w:spacing w:after="30"/>
        <w:ind w:left="426" w:hanging="426"/>
        <w:jc w:val="both"/>
        <w:rPr>
          <w:rFonts w:asciiTheme="minorHAnsi" w:hAnsiTheme="minorHAnsi"/>
          <w:sz w:val="22"/>
          <w:szCs w:val="22"/>
        </w:rPr>
      </w:pPr>
      <w:r w:rsidRPr="00AD6C0A">
        <w:rPr>
          <w:rFonts w:asciiTheme="minorHAnsi" w:hAnsiTheme="minorHAnsi"/>
          <w:sz w:val="22"/>
          <w:szCs w:val="22"/>
        </w:rPr>
        <w:lastRenderedPageBreak/>
        <w:t xml:space="preserve">kwalifikowana wartość odpisów amortyzacyjnych odnosi się wyłącznie do okresu realizacji projektu; </w:t>
      </w:r>
    </w:p>
    <w:p w:rsidR="00143514" w:rsidRPr="00AD6C0A" w:rsidRDefault="00143514" w:rsidP="0090111E">
      <w:pPr>
        <w:pStyle w:val="Default"/>
        <w:numPr>
          <w:ilvl w:val="0"/>
          <w:numId w:val="9"/>
        </w:numPr>
        <w:spacing w:after="30"/>
        <w:ind w:left="426" w:hanging="426"/>
        <w:jc w:val="both"/>
        <w:rPr>
          <w:rFonts w:asciiTheme="minorHAnsi" w:hAnsiTheme="minorHAnsi"/>
          <w:sz w:val="22"/>
          <w:szCs w:val="22"/>
        </w:rPr>
      </w:pPr>
      <w:r w:rsidRPr="00AD6C0A">
        <w:rPr>
          <w:rFonts w:asciiTheme="minorHAnsi" w:hAnsiTheme="minorHAnsi"/>
          <w:sz w:val="22"/>
          <w:szCs w:val="22"/>
        </w:rPr>
        <w:t xml:space="preserve">w przypadku, gdy aparatura lub WNiP wykorzystywane są także w innych celach niż realizacja projektu, kwalifikowana jest tylko ta część odpisu amortyzacyjnego, która odpowiada proporcji wykorzystania aktywów przy realizacji projektu; </w:t>
      </w:r>
    </w:p>
    <w:p w:rsidR="00143514" w:rsidRPr="00F701F1" w:rsidRDefault="00143514" w:rsidP="0090111E">
      <w:pPr>
        <w:pStyle w:val="Default"/>
        <w:numPr>
          <w:ilvl w:val="0"/>
          <w:numId w:val="9"/>
        </w:numPr>
        <w:spacing w:after="30"/>
        <w:ind w:left="426" w:hanging="426"/>
        <w:jc w:val="both"/>
        <w:rPr>
          <w:rFonts w:asciiTheme="minorHAnsi" w:hAnsiTheme="minorHAnsi"/>
          <w:sz w:val="22"/>
          <w:szCs w:val="22"/>
        </w:rPr>
      </w:pPr>
      <w:r w:rsidRPr="00AD6C0A">
        <w:rPr>
          <w:rFonts w:asciiTheme="minorHAnsi" w:hAnsiTheme="minorHAnsi"/>
          <w:sz w:val="22"/>
          <w:szCs w:val="22"/>
        </w:rPr>
        <w:t xml:space="preserve">zakup aparatury lub WNiP nie był współfinansowany ze środków dotacji krajowej lub środków </w:t>
      </w:r>
      <w:r w:rsidRPr="00F701F1">
        <w:rPr>
          <w:rFonts w:asciiTheme="minorHAnsi" w:hAnsiTheme="minorHAnsi"/>
          <w:sz w:val="22"/>
          <w:szCs w:val="22"/>
        </w:rPr>
        <w:t xml:space="preserve">unijnych; </w:t>
      </w:r>
    </w:p>
    <w:p w:rsidR="00143514" w:rsidRPr="00AD6C0A" w:rsidRDefault="00143514" w:rsidP="0090111E">
      <w:pPr>
        <w:pStyle w:val="Default"/>
        <w:numPr>
          <w:ilvl w:val="0"/>
          <w:numId w:val="9"/>
        </w:numPr>
        <w:spacing w:after="30"/>
        <w:ind w:left="426" w:hanging="426"/>
        <w:jc w:val="both"/>
        <w:rPr>
          <w:rFonts w:asciiTheme="minorHAnsi" w:hAnsiTheme="minorHAnsi"/>
          <w:sz w:val="22"/>
          <w:szCs w:val="22"/>
        </w:rPr>
      </w:pPr>
      <w:r w:rsidRPr="00AD6C0A">
        <w:rPr>
          <w:rFonts w:asciiTheme="minorHAnsi" w:hAnsiTheme="minorHAnsi"/>
          <w:sz w:val="22"/>
          <w:szCs w:val="22"/>
        </w:rPr>
        <w:t xml:space="preserve">zakup aparatury lub WNiP nie został rozliczony jako koszt kwalifikowany projektu; </w:t>
      </w:r>
    </w:p>
    <w:p w:rsidR="00143514" w:rsidRPr="00AD6C0A" w:rsidRDefault="00143514" w:rsidP="0090111E">
      <w:pPr>
        <w:pStyle w:val="Default"/>
        <w:numPr>
          <w:ilvl w:val="0"/>
          <w:numId w:val="9"/>
        </w:numPr>
        <w:ind w:left="426" w:hanging="426"/>
        <w:jc w:val="both"/>
        <w:rPr>
          <w:rFonts w:asciiTheme="minorHAnsi" w:hAnsiTheme="minorHAnsi"/>
          <w:sz w:val="22"/>
          <w:szCs w:val="22"/>
        </w:rPr>
      </w:pPr>
      <w:r w:rsidRPr="00AD6C0A">
        <w:rPr>
          <w:rFonts w:asciiTheme="minorHAnsi" w:hAnsiTheme="minorHAnsi"/>
          <w:sz w:val="22"/>
          <w:szCs w:val="22"/>
        </w:rPr>
        <w:t xml:space="preserve">odpisy amortyzacyjne dotyczą aparatury lub WNiP, które zostały zakupione w sposób racjonalny i efektywny, tj. ich ceny nie zostały zawyżone w stosunku do cen i stawek rynkowych. </w:t>
      </w:r>
    </w:p>
    <w:p w:rsidR="00143514" w:rsidRPr="00AD6C0A" w:rsidRDefault="00143514" w:rsidP="0090111E">
      <w:pPr>
        <w:pStyle w:val="Default"/>
        <w:numPr>
          <w:ilvl w:val="0"/>
          <w:numId w:val="9"/>
        </w:numPr>
        <w:ind w:left="426" w:hanging="426"/>
        <w:jc w:val="both"/>
        <w:rPr>
          <w:rFonts w:asciiTheme="minorHAnsi" w:hAnsiTheme="minorHAnsi"/>
          <w:sz w:val="22"/>
          <w:szCs w:val="22"/>
        </w:rPr>
      </w:pPr>
      <w:r w:rsidRPr="00AD6C0A">
        <w:rPr>
          <w:rFonts w:asciiTheme="minorHAnsi" w:hAnsiTheme="minorHAnsi"/>
          <w:sz w:val="22"/>
          <w:szCs w:val="22"/>
        </w:rPr>
        <w:t>Wartość rezydualna środka trwałego oraz WNiP po zakończeniu realizacji projektu nie jest kosztem kwalifikowanym.</w:t>
      </w:r>
    </w:p>
    <w:p w:rsidR="00143514" w:rsidRPr="00F04CB0" w:rsidRDefault="00143514" w:rsidP="0090111E">
      <w:pPr>
        <w:autoSpaceDE w:val="0"/>
        <w:autoSpaceDN w:val="0"/>
        <w:adjustRightInd w:val="0"/>
        <w:spacing w:after="120" w:line="240" w:lineRule="auto"/>
        <w:jc w:val="both"/>
        <w:rPr>
          <w:rFonts w:cs="Arial"/>
        </w:rPr>
      </w:pPr>
    </w:p>
    <w:p w:rsidR="00027A10" w:rsidRPr="00D61417" w:rsidRDefault="00027A10" w:rsidP="0090111E">
      <w:pPr>
        <w:pStyle w:val="Akapitzlist"/>
        <w:numPr>
          <w:ilvl w:val="0"/>
          <w:numId w:val="21"/>
        </w:numPr>
        <w:autoSpaceDE w:val="0"/>
        <w:autoSpaceDN w:val="0"/>
        <w:adjustRightInd w:val="0"/>
        <w:spacing w:after="120" w:line="240" w:lineRule="auto"/>
        <w:ind w:left="426" w:hanging="426"/>
        <w:jc w:val="both"/>
        <w:rPr>
          <w:rFonts w:cs="Arial"/>
          <w:b/>
        </w:rPr>
      </w:pPr>
      <w:r w:rsidRPr="00D61417">
        <w:rPr>
          <w:rFonts w:cs="Arial"/>
          <w:b/>
        </w:rPr>
        <w:t>K</w:t>
      </w:r>
      <w:r w:rsidR="00BD01C4" w:rsidRPr="00D61417">
        <w:rPr>
          <w:rFonts w:cs="Arial"/>
          <w:b/>
        </w:rPr>
        <w:t xml:space="preserve">oszty budynków i gruntów </w:t>
      </w:r>
    </w:p>
    <w:p w:rsidR="00027A10" w:rsidRPr="00027A10" w:rsidRDefault="00027A10" w:rsidP="0090111E">
      <w:pPr>
        <w:autoSpaceDE w:val="0"/>
        <w:autoSpaceDN w:val="0"/>
        <w:adjustRightInd w:val="0"/>
        <w:spacing w:after="120" w:line="240" w:lineRule="auto"/>
        <w:jc w:val="both"/>
        <w:rPr>
          <w:rFonts w:cs="Arial"/>
        </w:rPr>
      </w:pPr>
      <w:r w:rsidRPr="00027A10">
        <w:rPr>
          <w:rFonts w:cs="Arial"/>
        </w:rPr>
        <w:t xml:space="preserve">Koszty budynków i gruntów mogą stanowić wydatek kwalifikowalny </w:t>
      </w:r>
      <w:r w:rsidR="00BD01C4" w:rsidRPr="00027A10">
        <w:rPr>
          <w:rFonts w:cs="Arial"/>
        </w:rPr>
        <w:t xml:space="preserve">w zakresie i przez okres, w jakim są one wykorzystywane na potrzeby projektu. </w:t>
      </w:r>
    </w:p>
    <w:p w:rsidR="00027A10" w:rsidRPr="00027A10" w:rsidRDefault="00BD01C4" w:rsidP="0090111E">
      <w:pPr>
        <w:autoSpaceDE w:val="0"/>
        <w:autoSpaceDN w:val="0"/>
        <w:adjustRightInd w:val="0"/>
        <w:spacing w:after="120" w:line="240" w:lineRule="auto"/>
        <w:jc w:val="both"/>
        <w:rPr>
          <w:rFonts w:cs="Arial"/>
        </w:rPr>
      </w:pPr>
      <w:r w:rsidRPr="00027A10">
        <w:rPr>
          <w:rFonts w:cs="Arial"/>
        </w:rPr>
        <w:t xml:space="preserve">Jeżeli chodzi o budynki, za koszty kwalifikowalne uznaje się tylko koszty amortyzacji odpowiadające okresowi realizacji projektu obliczone na podstawie powszechnie przyjętych zasad rachunkowości. </w:t>
      </w:r>
    </w:p>
    <w:p w:rsidR="00BD01C4" w:rsidRPr="00027A10" w:rsidRDefault="00BD01C4" w:rsidP="0090111E">
      <w:pPr>
        <w:autoSpaceDE w:val="0"/>
        <w:autoSpaceDN w:val="0"/>
        <w:adjustRightInd w:val="0"/>
        <w:spacing w:after="120" w:line="240" w:lineRule="auto"/>
        <w:jc w:val="both"/>
        <w:rPr>
          <w:rFonts w:cs="Arial"/>
        </w:rPr>
      </w:pPr>
      <w:r w:rsidRPr="00027A10">
        <w:rPr>
          <w:rFonts w:cs="Arial"/>
        </w:rPr>
        <w:t>W przypadku gruntów kosztami kwalifikowalnymi są koszty przekazania na zasadach handlowych lub faktyczni</w:t>
      </w:r>
      <w:r w:rsidR="00027A10" w:rsidRPr="00027A10">
        <w:rPr>
          <w:rFonts w:cs="Arial"/>
        </w:rPr>
        <w:t>e poniesione koszty kapitałowe.</w:t>
      </w:r>
    </w:p>
    <w:p w:rsidR="00027A10" w:rsidRDefault="00027A10" w:rsidP="0090111E">
      <w:pPr>
        <w:pStyle w:val="Default"/>
        <w:ind w:left="426"/>
        <w:jc w:val="both"/>
        <w:rPr>
          <w:rFonts w:asciiTheme="minorHAnsi" w:hAnsiTheme="minorHAnsi"/>
          <w:sz w:val="22"/>
          <w:szCs w:val="22"/>
        </w:rPr>
      </w:pPr>
    </w:p>
    <w:p w:rsidR="00B13268" w:rsidRPr="00AD6C0A" w:rsidRDefault="006C3AB9" w:rsidP="0090111E">
      <w:pPr>
        <w:pStyle w:val="Default"/>
        <w:jc w:val="both"/>
        <w:rPr>
          <w:rFonts w:asciiTheme="minorHAnsi" w:hAnsiTheme="minorHAnsi"/>
          <w:sz w:val="22"/>
          <w:szCs w:val="22"/>
        </w:rPr>
      </w:pPr>
      <w:r w:rsidRPr="00AD6C0A">
        <w:rPr>
          <w:rFonts w:asciiTheme="minorHAnsi" w:hAnsiTheme="minorHAnsi"/>
          <w:b/>
          <w:bCs/>
          <w:sz w:val="22"/>
          <w:szCs w:val="22"/>
        </w:rPr>
        <w:t xml:space="preserve">W ramach tej kategorii kwalifikowane są następujące rodzaje kosztów: </w:t>
      </w:r>
    </w:p>
    <w:p w:rsidR="006C3AB9" w:rsidRPr="00AD6C0A" w:rsidRDefault="006C3AB9" w:rsidP="0090111E">
      <w:pPr>
        <w:pStyle w:val="Default"/>
        <w:numPr>
          <w:ilvl w:val="0"/>
          <w:numId w:val="10"/>
        </w:numPr>
        <w:spacing w:after="27"/>
        <w:ind w:left="426" w:hanging="425"/>
        <w:jc w:val="both"/>
        <w:rPr>
          <w:rFonts w:asciiTheme="minorHAnsi" w:hAnsiTheme="minorHAnsi"/>
          <w:sz w:val="22"/>
          <w:szCs w:val="22"/>
        </w:rPr>
      </w:pPr>
      <w:r w:rsidRPr="00AD6C0A">
        <w:rPr>
          <w:rFonts w:asciiTheme="minorHAnsi" w:hAnsiTheme="minorHAnsi"/>
          <w:b/>
          <w:bCs/>
          <w:sz w:val="22"/>
          <w:szCs w:val="22"/>
        </w:rPr>
        <w:t xml:space="preserve">dzierżawa gruntów </w:t>
      </w:r>
      <w:r w:rsidRPr="00AD6C0A">
        <w:rPr>
          <w:rFonts w:asciiTheme="minorHAnsi" w:hAnsiTheme="minorHAnsi"/>
          <w:sz w:val="22"/>
          <w:szCs w:val="22"/>
        </w:rPr>
        <w:t xml:space="preserve">- tylko raty dzierżawne bez części odsetkowej; </w:t>
      </w:r>
    </w:p>
    <w:p w:rsidR="006C3AB9" w:rsidRPr="00AD6C0A" w:rsidRDefault="006C3AB9" w:rsidP="0090111E">
      <w:pPr>
        <w:pStyle w:val="Default"/>
        <w:numPr>
          <w:ilvl w:val="0"/>
          <w:numId w:val="10"/>
        </w:numPr>
        <w:spacing w:after="27"/>
        <w:ind w:left="426" w:hanging="425"/>
        <w:jc w:val="both"/>
        <w:rPr>
          <w:rFonts w:asciiTheme="minorHAnsi" w:hAnsiTheme="minorHAnsi"/>
          <w:sz w:val="22"/>
          <w:szCs w:val="22"/>
        </w:rPr>
      </w:pPr>
      <w:r w:rsidRPr="00AD6C0A">
        <w:rPr>
          <w:rFonts w:asciiTheme="minorHAnsi" w:hAnsiTheme="minorHAnsi"/>
          <w:b/>
          <w:bCs/>
          <w:sz w:val="22"/>
          <w:szCs w:val="22"/>
        </w:rPr>
        <w:t xml:space="preserve">wieczyste użytkowanie gruntów </w:t>
      </w:r>
      <w:r w:rsidRPr="00AD6C0A">
        <w:rPr>
          <w:rFonts w:asciiTheme="minorHAnsi" w:hAnsiTheme="minorHAnsi"/>
          <w:sz w:val="22"/>
          <w:szCs w:val="22"/>
        </w:rPr>
        <w:t xml:space="preserve">- tylko opłaty za użytkowanie wieczyste z wyłączeniem odsetek; </w:t>
      </w:r>
    </w:p>
    <w:p w:rsidR="006C3AB9" w:rsidRPr="00AD6C0A" w:rsidRDefault="006C3AB9" w:rsidP="0090111E">
      <w:pPr>
        <w:pStyle w:val="Default"/>
        <w:numPr>
          <w:ilvl w:val="0"/>
          <w:numId w:val="10"/>
        </w:numPr>
        <w:ind w:left="426" w:hanging="425"/>
        <w:jc w:val="both"/>
        <w:rPr>
          <w:rFonts w:asciiTheme="minorHAnsi" w:hAnsiTheme="minorHAnsi"/>
          <w:sz w:val="22"/>
          <w:szCs w:val="22"/>
        </w:rPr>
      </w:pPr>
      <w:r w:rsidRPr="00AD6C0A">
        <w:rPr>
          <w:rFonts w:asciiTheme="minorHAnsi" w:hAnsiTheme="minorHAnsi"/>
          <w:b/>
          <w:bCs/>
          <w:sz w:val="22"/>
          <w:szCs w:val="22"/>
        </w:rPr>
        <w:t xml:space="preserve">amortyzacja budynków </w:t>
      </w:r>
      <w:r w:rsidRPr="00AD6C0A">
        <w:rPr>
          <w:rFonts w:asciiTheme="minorHAnsi" w:hAnsiTheme="minorHAnsi"/>
          <w:sz w:val="22"/>
          <w:szCs w:val="22"/>
        </w:rPr>
        <w:t xml:space="preserve">- w przypadku, gdy wykorzystywane są także w innych celach niż realizacja projektu, kwalifikowana jest tylko ta część odpisu amortyzacyjnego, która odpowiada proporcji wykorzystania budynków w celu realizacji projektu objętego pomocą. </w:t>
      </w:r>
    </w:p>
    <w:p w:rsidR="00027A10" w:rsidRDefault="00027A10" w:rsidP="0090111E">
      <w:pPr>
        <w:autoSpaceDE w:val="0"/>
        <w:autoSpaceDN w:val="0"/>
        <w:adjustRightInd w:val="0"/>
        <w:spacing w:after="120" w:line="240" w:lineRule="auto"/>
        <w:jc w:val="both"/>
      </w:pPr>
    </w:p>
    <w:p w:rsidR="006C3AB9" w:rsidRDefault="006C3AB9" w:rsidP="0090111E">
      <w:pPr>
        <w:autoSpaceDE w:val="0"/>
        <w:autoSpaceDN w:val="0"/>
        <w:adjustRightInd w:val="0"/>
        <w:spacing w:after="120" w:line="240" w:lineRule="auto"/>
        <w:jc w:val="both"/>
      </w:pPr>
      <w:r w:rsidRPr="00AD6C0A">
        <w:t xml:space="preserve">W przypadku </w:t>
      </w:r>
      <w:r w:rsidRPr="00027A10">
        <w:rPr>
          <w:b/>
          <w:bCs/>
        </w:rPr>
        <w:t xml:space="preserve">kosztów budynków i gruntów </w:t>
      </w:r>
      <w:r w:rsidRPr="00AD6C0A">
        <w:t xml:space="preserve">(np. dzierżawa gruntów, wieczyste użytkowanie gruntów, amortyzacja budynków) łączna kwota wydatków kwalifikowanych w projekcie </w:t>
      </w:r>
      <w:r w:rsidRPr="00027A10">
        <w:rPr>
          <w:b/>
          <w:bCs/>
        </w:rPr>
        <w:t xml:space="preserve">nie może przekroczyć 10% </w:t>
      </w:r>
      <w:r w:rsidRPr="00AD6C0A">
        <w:t xml:space="preserve">całkowitych </w:t>
      </w:r>
      <w:r w:rsidRPr="00027A10">
        <w:rPr>
          <w:b/>
          <w:bCs/>
        </w:rPr>
        <w:t>kosztów kwalifikowanych projektu</w:t>
      </w:r>
      <w:r w:rsidR="000425CA">
        <w:t>,</w:t>
      </w:r>
      <w:r w:rsidR="000425CA" w:rsidRPr="00404B03">
        <w:rPr>
          <w:bCs/>
        </w:rPr>
        <w:t>przy czym w przypadku terenów poprzemysłowych oraz terenów opuszczonych limit ten wynosi 15%</w:t>
      </w:r>
      <w:r w:rsidR="000425CA" w:rsidRPr="00F83F40">
        <w:t>.</w:t>
      </w:r>
    </w:p>
    <w:p w:rsidR="00E9633E" w:rsidRPr="00F04CB0" w:rsidRDefault="00E9633E" w:rsidP="0090111E">
      <w:pPr>
        <w:autoSpaceDE w:val="0"/>
        <w:autoSpaceDN w:val="0"/>
        <w:adjustRightInd w:val="0"/>
        <w:spacing w:after="120" w:line="240" w:lineRule="auto"/>
        <w:jc w:val="both"/>
      </w:pPr>
    </w:p>
    <w:p w:rsidR="00027A10" w:rsidRPr="00D61417" w:rsidRDefault="00027A10" w:rsidP="0090111E">
      <w:pPr>
        <w:pStyle w:val="Akapitzlist"/>
        <w:numPr>
          <w:ilvl w:val="0"/>
          <w:numId w:val="21"/>
        </w:numPr>
        <w:spacing w:after="0" w:line="240" w:lineRule="auto"/>
        <w:ind w:left="426" w:hanging="426"/>
        <w:jc w:val="both"/>
        <w:rPr>
          <w:rFonts w:eastAsia="Times New Roman" w:cs="Times New Roman"/>
          <w:b/>
          <w:lang w:eastAsia="pl-PL"/>
        </w:rPr>
      </w:pPr>
      <w:r w:rsidRPr="00D61417">
        <w:rPr>
          <w:rFonts w:eastAsia="Times New Roman" w:cs="Times New Roman"/>
          <w:b/>
          <w:lang w:eastAsia="pl-PL"/>
        </w:rPr>
        <w:t>Koszty związane z leasingiem</w:t>
      </w:r>
    </w:p>
    <w:p w:rsidR="00027A10" w:rsidRPr="00027A10" w:rsidRDefault="00027A10" w:rsidP="0090111E">
      <w:pPr>
        <w:pStyle w:val="Akapitzlist"/>
        <w:spacing w:after="0" w:line="240" w:lineRule="auto"/>
        <w:ind w:left="786"/>
        <w:jc w:val="both"/>
        <w:rPr>
          <w:rFonts w:eastAsia="Times New Roman" w:cs="Times New Roman"/>
          <w:b/>
          <w:lang w:eastAsia="pl-PL"/>
        </w:rPr>
      </w:pPr>
    </w:p>
    <w:p w:rsidR="00027A10" w:rsidRPr="00AD6C0A" w:rsidRDefault="00027A10" w:rsidP="0090111E">
      <w:pPr>
        <w:pStyle w:val="Default"/>
        <w:jc w:val="both"/>
        <w:rPr>
          <w:rFonts w:asciiTheme="minorHAnsi" w:hAnsiTheme="minorHAnsi"/>
          <w:sz w:val="22"/>
          <w:szCs w:val="22"/>
        </w:rPr>
      </w:pPr>
      <w:r w:rsidRPr="00AD6C0A">
        <w:rPr>
          <w:rFonts w:asciiTheme="minorHAnsi" w:hAnsiTheme="minorHAnsi"/>
          <w:sz w:val="22"/>
          <w:szCs w:val="22"/>
        </w:rPr>
        <w:t xml:space="preserve">W </w:t>
      </w:r>
      <w:r w:rsidRPr="00AD6C0A">
        <w:rPr>
          <w:rFonts w:asciiTheme="minorHAnsi" w:hAnsiTheme="minorHAnsi"/>
          <w:b/>
          <w:bCs/>
          <w:sz w:val="22"/>
          <w:szCs w:val="22"/>
        </w:rPr>
        <w:t xml:space="preserve">przypadku leasingu </w:t>
      </w:r>
      <w:r w:rsidRPr="00AD6C0A">
        <w:rPr>
          <w:rFonts w:asciiTheme="minorHAnsi" w:hAnsiTheme="minorHAnsi"/>
          <w:sz w:val="22"/>
          <w:szCs w:val="22"/>
        </w:rPr>
        <w:t>(</w:t>
      </w:r>
      <w:r w:rsidR="00123987">
        <w:rPr>
          <w:rFonts w:asciiTheme="minorHAnsi" w:hAnsiTheme="minorHAnsi"/>
          <w:sz w:val="22"/>
          <w:szCs w:val="22"/>
        </w:rPr>
        <w:t xml:space="preserve">finansowego, </w:t>
      </w:r>
      <w:r w:rsidRPr="00AD6C0A">
        <w:rPr>
          <w:rFonts w:asciiTheme="minorHAnsi" w:hAnsiTheme="minorHAnsi"/>
          <w:sz w:val="22"/>
          <w:szCs w:val="22"/>
        </w:rPr>
        <w:t>operacyjnego</w:t>
      </w:r>
      <w:r w:rsidR="00123987">
        <w:rPr>
          <w:rFonts w:asciiTheme="minorHAnsi" w:hAnsiTheme="minorHAnsi"/>
          <w:sz w:val="22"/>
          <w:szCs w:val="22"/>
        </w:rPr>
        <w:t xml:space="preserve"> lub zwrotnego</w:t>
      </w:r>
      <w:r w:rsidRPr="00AD6C0A">
        <w:rPr>
          <w:rFonts w:asciiTheme="minorHAnsi" w:hAnsiTheme="minorHAnsi"/>
          <w:sz w:val="22"/>
          <w:szCs w:val="22"/>
        </w:rPr>
        <w:t xml:space="preserve">) koszt kwalifikowany stanowi kwota przypadająca na </w:t>
      </w:r>
      <w:r w:rsidRPr="00AD6C0A">
        <w:rPr>
          <w:rFonts w:asciiTheme="minorHAnsi" w:hAnsiTheme="minorHAnsi"/>
          <w:b/>
          <w:bCs/>
          <w:sz w:val="22"/>
          <w:szCs w:val="22"/>
        </w:rPr>
        <w:t xml:space="preserve">część raty leasingowej </w:t>
      </w:r>
      <w:r w:rsidRPr="00AD6C0A">
        <w:rPr>
          <w:rFonts w:asciiTheme="minorHAnsi" w:hAnsiTheme="minorHAnsi"/>
          <w:sz w:val="22"/>
          <w:szCs w:val="22"/>
        </w:rPr>
        <w:t xml:space="preserve">wystawionej na rzecz beneficjenta </w:t>
      </w:r>
      <w:r w:rsidRPr="00AD6C0A">
        <w:rPr>
          <w:rFonts w:asciiTheme="minorHAnsi" w:hAnsiTheme="minorHAnsi"/>
          <w:b/>
          <w:bCs/>
          <w:sz w:val="22"/>
          <w:szCs w:val="22"/>
        </w:rPr>
        <w:t xml:space="preserve">związanej ze spłatą kapitału </w:t>
      </w:r>
      <w:r w:rsidRPr="00AD6C0A">
        <w:rPr>
          <w:rFonts w:asciiTheme="minorHAnsi" w:hAnsiTheme="minorHAnsi"/>
          <w:sz w:val="22"/>
          <w:szCs w:val="22"/>
        </w:rPr>
        <w:t xml:space="preserve">(bez części odsetkowej i innych opłat) przedmiotu umowy leasingu. </w:t>
      </w:r>
    </w:p>
    <w:p w:rsidR="00027A10" w:rsidRPr="00AD6C0A" w:rsidRDefault="00027A10" w:rsidP="0090111E">
      <w:pPr>
        <w:pStyle w:val="Default"/>
        <w:jc w:val="both"/>
        <w:rPr>
          <w:rFonts w:asciiTheme="minorHAnsi" w:hAnsiTheme="minorHAnsi"/>
          <w:sz w:val="22"/>
          <w:szCs w:val="22"/>
        </w:rPr>
      </w:pPr>
      <w:r w:rsidRPr="00AD6C0A">
        <w:rPr>
          <w:rFonts w:asciiTheme="minorHAnsi" w:hAnsiTheme="minorHAnsi"/>
          <w:sz w:val="22"/>
          <w:szCs w:val="22"/>
        </w:rPr>
        <w:t xml:space="preserve">W przypadku kosztów leasingu maksymalna kwota wydatków kwalifikowalnych nie może przekroczyć rynkowej wartości dobra będącego przedmiotem leasingu. Oznacza to, że kwota kosztów kwalifikowanych nie może być wyższa, niż: </w:t>
      </w:r>
    </w:p>
    <w:p w:rsidR="00027A10" w:rsidRPr="00AD6C0A" w:rsidRDefault="00027A10" w:rsidP="0090111E">
      <w:pPr>
        <w:pStyle w:val="Default"/>
        <w:numPr>
          <w:ilvl w:val="0"/>
          <w:numId w:val="27"/>
        </w:numPr>
        <w:spacing w:after="18"/>
        <w:ind w:left="425" w:hanging="425"/>
        <w:jc w:val="both"/>
        <w:rPr>
          <w:rFonts w:asciiTheme="minorHAnsi" w:hAnsiTheme="minorHAnsi"/>
          <w:sz w:val="22"/>
          <w:szCs w:val="22"/>
        </w:rPr>
      </w:pPr>
      <w:r w:rsidRPr="00AD6C0A">
        <w:rPr>
          <w:rFonts w:asciiTheme="minorHAnsi" w:hAnsiTheme="minorHAnsi"/>
          <w:sz w:val="22"/>
          <w:szCs w:val="22"/>
        </w:rPr>
        <w:t xml:space="preserve">kwota, na którą opiewa dowód zakupu wystawiony leasingodawcy przez dostawcę współfinansowanego dobra – w przypadku dóbr zakupionych nie wcześniej niż w okresie 12 miesięcy przed złożeniem przez beneficjenta wniosku o dofinansowanie, </w:t>
      </w:r>
    </w:p>
    <w:p w:rsidR="00027A10" w:rsidRPr="00AD6C0A" w:rsidRDefault="00027A10" w:rsidP="0090111E">
      <w:pPr>
        <w:pStyle w:val="Default"/>
        <w:numPr>
          <w:ilvl w:val="0"/>
          <w:numId w:val="27"/>
        </w:numPr>
        <w:ind w:left="425" w:hanging="425"/>
        <w:jc w:val="both"/>
        <w:rPr>
          <w:rFonts w:asciiTheme="minorHAnsi" w:hAnsiTheme="minorHAnsi"/>
          <w:sz w:val="22"/>
          <w:szCs w:val="22"/>
        </w:rPr>
      </w:pPr>
      <w:r w:rsidRPr="00AD6C0A">
        <w:rPr>
          <w:rFonts w:asciiTheme="minorHAnsi" w:hAnsiTheme="minorHAnsi"/>
          <w:sz w:val="22"/>
          <w:szCs w:val="22"/>
        </w:rPr>
        <w:t xml:space="preserve">rynkowa wartość dobra będącego przedmiotem leasingu określona w wycenie sporządzonej przez uprawnionego rzeczoznawcę lub w wycenie sporządzonej w oparciu o metodologię przedstawioną przez beneficjenta – w przypadku dóbr zakupionych wcześniej niż w okresie 12 miesięcy przed złożeniem przez beneficjenta wniosku o dofinansowanie. Wycena może zostać </w:t>
      </w:r>
      <w:r w:rsidRPr="00AD6C0A">
        <w:rPr>
          <w:rFonts w:asciiTheme="minorHAnsi" w:hAnsiTheme="minorHAnsi"/>
          <w:sz w:val="22"/>
          <w:szCs w:val="22"/>
        </w:rPr>
        <w:lastRenderedPageBreak/>
        <w:t xml:space="preserve">zastąpiona udokumentowaniem wyboru przedmiotu leasingu w procedurze przetargowej zapewniającej zachowanie uczciwej konkurencji. </w:t>
      </w:r>
    </w:p>
    <w:p w:rsidR="007E5712" w:rsidRDefault="003511C4" w:rsidP="0090111E">
      <w:pPr>
        <w:pStyle w:val="Akapitzlist"/>
        <w:autoSpaceDE w:val="0"/>
        <w:autoSpaceDN w:val="0"/>
        <w:adjustRightInd w:val="0"/>
        <w:spacing w:after="120" w:line="240" w:lineRule="auto"/>
        <w:ind w:left="284"/>
        <w:jc w:val="both"/>
        <w:rPr>
          <w:rFonts w:cs="Arial"/>
          <w:b/>
        </w:rPr>
      </w:pPr>
      <w:r>
        <w:rPr>
          <w:rFonts w:cs="Arial"/>
          <w:b/>
        </w:rPr>
        <w:tab/>
      </w:r>
    </w:p>
    <w:p w:rsidR="00027A10" w:rsidRPr="00D61417" w:rsidRDefault="00E61A09" w:rsidP="0090111E">
      <w:pPr>
        <w:pStyle w:val="Akapitzlist"/>
        <w:numPr>
          <w:ilvl w:val="0"/>
          <w:numId w:val="21"/>
        </w:numPr>
        <w:autoSpaceDE w:val="0"/>
        <w:autoSpaceDN w:val="0"/>
        <w:adjustRightInd w:val="0"/>
        <w:spacing w:after="120" w:line="240" w:lineRule="auto"/>
        <w:ind w:left="426" w:hanging="426"/>
        <w:jc w:val="both"/>
        <w:rPr>
          <w:rFonts w:cs="Arial"/>
          <w:b/>
        </w:rPr>
      </w:pPr>
      <w:r w:rsidRPr="00D61417">
        <w:rPr>
          <w:rFonts w:cs="Arial"/>
          <w:b/>
        </w:rPr>
        <w:t>K</w:t>
      </w:r>
      <w:r w:rsidR="00BD01C4" w:rsidRPr="00D61417">
        <w:rPr>
          <w:rFonts w:cs="Arial"/>
          <w:b/>
        </w:rPr>
        <w:t xml:space="preserve">oszty  badań </w:t>
      </w:r>
    </w:p>
    <w:p w:rsidR="00027A10" w:rsidRPr="00E61A09" w:rsidRDefault="00E61A09" w:rsidP="0090111E">
      <w:pPr>
        <w:autoSpaceDE w:val="0"/>
        <w:autoSpaceDN w:val="0"/>
        <w:adjustRightInd w:val="0"/>
        <w:spacing w:after="120" w:line="240" w:lineRule="auto"/>
        <w:jc w:val="both"/>
        <w:rPr>
          <w:rFonts w:cs="Calibri"/>
          <w:color w:val="000000"/>
        </w:rPr>
      </w:pPr>
      <w:r w:rsidRPr="00E61A09">
        <w:rPr>
          <w:rFonts w:cs="Calibri"/>
          <w:color w:val="000000"/>
        </w:rPr>
        <w:t xml:space="preserve">Wydatkiem kwalifikowalnym mogą </w:t>
      </w:r>
      <w:r w:rsidR="00805146">
        <w:rPr>
          <w:rFonts w:cs="Calibri"/>
          <w:color w:val="000000"/>
        </w:rPr>
        <w:t>być</w:t>
      </w:r>
      <w:r w:rsidR="00C72FB8">
        <w:rPr>
          <w:rFonts w:cs="Calibri"/>
          <w:color w:val="000000"/>
        </w:rPr>
        <w:t xml:space="preserve"> </w:t>
      </w:r>
      <w:r w:rsidRPr="00E61A09">
        <w:rPr>
          <w:rFonts w:cs="Calibri"/>
          <w:color w:val="000000"/>
        </w:rPr>
        <w:t xml:space="preserve">koszty badań </w:t>
      </w:r>
      <w:r w:rsidR="00805146">
        <w:rPr>
          <w:rFonts w:cs="Calibri"/>
          <w:color w:val="000000"/>
        </w:rPr>
        <w:t xml:space="preserve">zlecane podmiotom zewnętrznym </w:t>
      </w:r>
      <w:r>
        <w:rPr>
          <w:rFonts w:cs="Calibri"/>
          <w:color w:val="000000"/>
        </w:rPr>
        <w:t xml:space="preserve">niezbędnych w celu realizacji projektu </w:t>
      </w:r>
      <w:r w:rsidR="007E5712">
        <w:rPr>
          <w:rFonts w:cs="Calibri"/>
          <w:color w:val="000000"/>
        </w:rPr>
        <w:t>inne niż wskazane w pkt.2 dokonane</w:t>
      </w:r>
      <w:r w:rsidR="00C72FB8">
        <w:rPr>
          <w:rFonts w:cs="Calibri"/>
          <w:color w:val="000000"/>
        </w:rPr>
        <w:t xml:space="preserve"> </w:t>
      </w:r>
      <w:r>
        <w:rPr>
          <w:rFonts w:cs="Calibri"/>
          <w:color w:val="000000"/>
        </w:rPr>
        <w:t xml:space="preserve">zgodnie z zasadą </w:t>
      </w:r>
      <w:r w:rsidR="007E5712">
        <w:rPr>
          <w:rFonts w:cs="Calibri"/>
          <w:color w:val="000000"/>
        </w:rPr>
        <w:t>wyboru wykonawców</w:t>
      </w:r>
      <w:r w:rsidR="00285D5D">
        <w:rPr>
          <w:rStyle w:val="Odwoanieprzypisudolnego"/>
          <w:rFonts w:cs="Calibri"/>
          <w:color w:val="000000"/>
        </w:rPr>
        <w:footnoteReference w:id="5"/>
      </w:r>
      <w:r>
        <w:rPr>
          <w:rFonts w:cs="Calibri"/>
          <w:color w:val="000000"/>
        </w:rPr>
        <w:t>.</w:t>
      </w:r>
    </w:p>
    <w:p w:rsidR="00123987" w:rsidRDefault="00123987" w:rsidP="0090111E">
      <w:pPr>
        <w:pStyle w:val="Akapitzlist"/>
        <w:autoSpaceDE w:val="0"/>
        <w:autoSpaceDN w:val="0"/>
        <w:adjustRightInd w:val="0"/>
        <w:spacing w:after="120" w:line="240" w:lineRule="auto"/>
        <w:ind w:left="284"/>
        <w:jc w:val="both"/>
        <w:rPr>
          <w:rFonts w:cs="Arial"/>
          <w:b/>
        </w:rPr>
      </w:pPr>
    </w:p>
    <w:p w:rsidR="00BD01C4" w:rsidRPr="00027A10" w:rsidRDefault="00E61A09" w:rsidP="0090111E">
      <w:pPr>
        <w:pStyle w:val="Akapitzlist"/>
        <w:numPr>
          <w:ilvl w:val="0"/>
          <w:numId w:val="21"/>
        </w:numPr>
        <w:tabs>
          <w:tab w:val="left" w:pos="426"/>
        </w:tabs>
        <w:autoSpaceDE w:val="0"/>
        <w:autoSpaceDN w:val="0"/>
        <w:adjustRightInd w:val="0"/>
        <w:spacing w:after="120" w:line="240" w:lineRule="auto"/>
        <w:ind w:left="567" w:hanging="567"/>
        <w:jc w:val="both"/>
        <w:rPr>
          <w:rFonts w:cs="Arial"/>
          <w:b/>
        </w:rPr>
      </w:pPr>
      <w:r>
        <w:rPr>
          <w:rFonts w:cs="Arial"/>
          <w:b/>
        </w:rPr>
        <w:t>K</w:t>
      </w:r>
      <w:r w:rsidR="00BD01C4" w:rsidRPr="00027A10">
        <w:rPr>
          <w:rFonts w:cs="Arial"/>
          <w:b/>
        </w:rPr>
        <w:t xml:space="preserve">oszty </w:t>
      </w:r>
      <w:r w:rsidR="00BD3A80">
        <w:rPr>
          <w:rFonts w:cs="Arial"/>
          <w:b/>
        </w:rPr>
        <w:t xml:space="preserve">opłat finansowych, </w:t>
      </w:r>
      <w:r w:rsidR="00BD01C4" w:rsidRPr="00027A10">
        <w:rPr>
          <w:rFonts w:cs="Arial"/>
          <w:b/>
        </w:rPr>
        <w:t xml:space="preserve">doradztwa i </w:t>
      </w:r>
      <w:r w:rsidR="00BD3A80">
        <w:rPr>
          <w:rFonts w:cs="Arial"/>
          <w:b/>
        </w:rPr>
        <w:t xml:space="preserve">innych usług związanych wyłącznie z realizacją </w:t>
      </w:r>
      <w:r w:rsidR="00027A10" w:rsidRPr="00027A10">
        <w:rPr>
          <w:rFonts w:cs="Arial"/>
          <w:b/>
        </w:rPr>
        <w:t>projektu</w:t>
      </w:r>
    </w:p>
    <w:p w:rsidR="000D2912" w:rsidRPr="001C528A" w:rsidRDefault="00BE7A1F" w:rsidP="0090111E">
      <w:pPr>
        <w:autoSpaceDE w:val="0"/>
        <w:autoSpaceDN w:val="0"/>
        <w:adjustRightInd w:val="0"/>
        <w:spacing w:after="0" w:line="240" w:lineRule="auto"/>
        <w:jc w:val="both"/>
        <w:rPr>
          <w:rFonts w:cs="Arial"/>
          <w:i/>
          <w:iCs/>
        </w:rPr>
      </w:pPr>
      <w:r w:rsidRPr="001C528A">
        <w:rPr>
          <w:rFonts w:cs="Arial"/>
        </w:rPr>
        <w:t xml:space="preserve">Do wyżej wymienionych kosztów kwalifikowalnych zalicza się poniższe wydatki, </w:t>
      </w:r>
      <w:r w:rsidR="000D2912" w:rsidRPr="001C528A">
        <w:rPr>
          <w:rFonts w:cs="Arial"/>
        </w:rPr>
        <w:t xml:space="preserve">o ile </w:t>
      </w:r>
      <w:r w:rsidRPr="001C528A">
        <w:rPr>
          <w:rFonts w:cs="Arial"/>
        </w:rPr>
        <w:t>s</w:t>
      </w:r>
      <w:r w:rsidR="000D2912" w:rsidRPr="001C528A">
        <w:rPr>
          <w:rFonts w:cs="Arial"/>
        </w:rPr>
        <w:t xml:space="preserve">pełniają </w:t>
      </w:r>
      <w:r w:rsidRPr="001C528A">
        <w:rPr>
          <w:rFonts w:cs="Arial"/>
        </w:rPr>
        <w:t xml:space="preserve">one </w:t>
      </w:r>
      <w:r w:rsidR="000D2912" w:rsidRPr="001C528A">
        <w:rPr>
          <w:rFonts w:cs="Arial"/>
        </w:rPr>
        <w:t>pozostałe warunki kwalifikowalności wydatków</w:t>
      </w:r>
      <w:r w:rsidR="00C72FB8">
        <w:rPr>
          <w:rFonts w:cs="Arial"/>
        </w:rPr>
        <w:t xml:space="preserve"> </w:t>
      </w:r>
      <w:r w:rsidR="000D2912" w:rsidRPr="001C528A">
        <w:rPr>
          <w:rFonts w:cs="Arial"/>
        </w:rPr>
        <w:t xml:space="preserve">określone w </w:t>
      </w:r>
      <w:r w:rsidR="000D2912" w:rsidRPr="001C528A">
        <w:rPr>
          <w:rFonts w:cs="Arial"/>
          <w:i/>
          <w:iCs/>
        </w:rPr>
        <w:t>Wytycznych</w:t>
      </w:r>
      <w:r w:rsidRPr="001C528A">
        <w:rPr>
          <w:rStyle w:val="Odwoanieprzypisudolnego"/>
          <w:rFonts w:cs="Arial"/>
          <w:i/>
          <w:iCs/>
        </w:rPr>
        <w:footnoteReference w:id="6"/>
      </w:r>
      <w:r w:rsidR="000D2912" w:rsidRPr="001C528A">
        <w:rPr>
          <w:rFonts w:cs="Arial"/>
          <w:i/>
          <w:iCs/>
        </w:rPr>
        <w:t>:</w:t>
      </w:r>
    </w:p>
    <w:p w:rsidR="000D2912" w:rsidRPr="001C528A" w:rsidRDefault="000D2912" w:rsidP="0090111E">
      <w:pPr>
        <w:pStyle w:val="Akapitzlist"/>
        <w:numPr>
          <w:ilvl w:val="0"/>
          <w:numId w:val="30"/>
        </w:numPr>
        <w:autoSpaceDE w:val="0"/>
        <w:autoSpaceDN w:val="0"/>
        <w:adjustRightInd w:val="0"/>
        <w:spacing w:after="0" w:line="240" w:lineRule="auto"/>
        <w:ind w:left="426" w:hanging="426"/>
        <w:jc w:val="both"/>
        <w:rPr>
          <w:rFonts w:cs="Arial"/>
        </w:rPr>
      </w:pPr>
      <w:r w:rsidRPr="001C528A">
        <w:rPr>
          <w:rFonts w:cs="Arial"/>
        </w:rPr>
        <w:t>opłaty finansowe:</w:t>
      </w:r>
    </w:p>
    <w:p w:rsidR="000D2912" w:rsidRPr="001C528A" w:rsidRDefault="000D2912" w:rsidP="0090111E">
      <w:pPr>
        <w:pStyle w:val="Akapitzlist"/>
        <w:numPr>
          <w:ilvl w:val="0"/>
          <w:numId w:val="31"/>
        </w:numPr>
        <w:autoSpaceDE w:val="0"/>
        <w:autoSpaceDN w:val="0"/>
        <w:adjustRightInd w:val="0"/>
        <w:spacing w:after="0" w:line="240" w:lineRule="auto"/>
        <w:ind w:left="709" w:hanging="284"/>
        <w:jc w:val="both"/>
        <w:rPr>
          <w:rFonts w:cs="Arial"/>
        </w:rPr>
      </w:pPr>
      <w:r w:rsidRPr="001C528A">
        <w:rPr>
          <w:rFonts w:cs="Arial"/>
        </w:rPr>
        <w:t>wydatki związane z otwarciem oraz prowadzeniem wyodrębnionego</w:t>
      </w:r>
      <w:r w:rsidR="00C72FB8">
        <w:rPr>
          <w:rFonts w:cs="Arial"/>
        </w:rPr>
        <w:t xml:space="preserve"> </w:t>
      </w:r>
      <w:r w:rsidRPr="001C528A">
        <w:rPr>
          <w:rFonts w:cs="Arial"/>
        </w:rPr>
        <w:t>rachunku bankow</w:t>
      </w:r>
      <w:r w:rsidR="007E5712">
        <w:rPr>
          <w:rFonts w:cs="Arial"/>
        </w:rPr>
        <w:t>ego/subkonta związanego z obsługą zaliczki</w:t>
      </w:r>
    </w:p>
    <w:p w:rsidR="000D2912" w:rsidRPr="001C528A" w:rsidRDefault="000D2912" w:rsidP="0090111E">
      <w:pPr>
        <w:pStyle w:val="Akapitzlist"/>
        <w:numPr>
          <w:ilvl w:val="0"/>
          <w:numId w:val="31"/>
        </w:numPr>
        <w:autoSpaceDE w:val="0"/>
        <w:autoSpaceDN w:val="0"/>
        <w:adjustRightInd w:val="0"/>
        <w:spacing w:after="0" w:line="240" w:lineRule="auto"/>
        <w:ind w:left="709" w:hanging="284"/>
        <w:jc w:val="both"/>
        <w:rPr>
          <w:rFonts w:cs="Arial"/>
        </w:rPr>
      </w:pPr>
      <w:r w:rsidRPr="001C528A">
        <w:rPr>
          <w:rFonts w:cs="Arial"/>
        </w:rPr>
        <w:t>opłaty pobierane od dokonywanych transakcji finansowych (krajowych lub</w:t>
      </w:r>
      <w:r w:rsidR="00C72FB8">
        <w:rPr>
          <w:rFonts w:cs="Arial"/>
        </w:rPr>
        <w:t xml:space="preserve"> </w:t>
      </w:r>
      <w:r w:rsidRPr="001C528A">
        <w:rPr>
          <w:rFonts w:cs="Arial"/>
        </w:rPr>
        <w:t>zagranicznych), z wyjątkiem prowizji pobieranych w ramach wymiany walut,</w:t>
      </w:r>
      <w:r w:rsidR="00C72FB8">
        <w:rPr>
          <w:rFonts w:cs="Arial"/>
        </w:rPr>
        <w:t xml:space="preserve"> </w:t>
      </w:r>
      <w:r w:rsidRPr="001C528A">
        <w:rPr>
          <w:rFonts w:cs="Arial"/>
        </w:rPr>
        <w:t xml:space="preserve">o których mowa w podrozdziale 6.3 pkt 1 lit. a </w:t>
      </w:r>
      <w:r w:rsidRPr="001C528A">
        <w:rPr>
          <w:rFonts w:cs="Arial"/>
          <w:i/>
          <w:iCs/>
        </w:rPr>
        <w:t>Wytycznych</w:t>
      </w:r>
      <w:r w:rsidR="00BE7A1F" w:rsidRPr="001C528A">
        <w:rPr>
          <w:rStyle w:val="Odwoanieprzypisudolnego"/>
          <w:rFonts w:cs="Arial"/>
          <w:i/>
          <w:iCs/>
        </w:rPr>
        <w:footnoteReference w:id="7"/>
      </w:r>
      <w:r w:rsidRPr="001C528A">
        <w:rPr>
          <w:rFonts w:cs="Arial"/>
        </w:rPr>
        <w:t>,</w:t>
      </w:r>
    </w:p>
    <w:p w:rsidR="000D2912" w:rsidRPr="001C528A" w:rsidRDefault="000D2912" w:rsidP="0090111E">
      <w:pPr>
        <w:pStyle w:val="Akapitzlist"/>
        <w:numPr>
          <w:ilvl w:val="0"/>
          <w:numId w:val="30"/>
        </w:numPr>
        <w:autoSpaceDE w:val="0"/>
        <w:autoSpaceDN w:val="0"/>
        <w:adjustRightInd w:val="0"/>
        <w:spacing w:after="0" w:line="240" w:lineRule="auto"/>
        <w:ind w:left="426" w:hanging="426"/>
        <w:jc w:val="both"/>
        <w:rPr>
          <w:rFonts w:cs="Arial"/>
        </w:rPr>
      </w:pPr>
      <w:r w:rsidRPr="001C528A">
        <w:rPr>
          <w:rFonts w:cs="Arial"/>
        </w:rPr>
        <w:t>wydatki poniesione na instrumenty zabezpieczające realizację umowy</w:t>
      </w:r>
      <w:r w:rsidR="00C72FB8">
        <w:rPr>
          <w:rFonts w:cs="Arial"/>
        </w:rPr>
        <w:t xml:space="preserve"> </w:t>
      </w:r>
      <w:r w:rsidRPr="001C528A">
        <w:rPr>
          <w:rFonts w:cs="Arial"/>
        </w:rPr>
        <w:t>o dofinansowanie, o ile ich poniesienie wymagane jest przez prawo krajowe lub</w:t>
      </w:r>
      <w:r w:rsidR="00C72FB8">
        <w:rPr>
          <w:rFonts w:cs="Arial"/>
        </w:rPr>
        <w:t xml:space="preserve"> </w:t>
      </w:r>
      <w:r w:rsidRPr="001C528A">
        <w:rPr>
          <w:rFonts w:cs="Arial"/>
        </w:rPr>
        <w:t>unijne lub przez IZ PO,</w:t>
      </w:r>
    </w:p>
    <w:p w:rsidR="000D2912" w:rsidRPr="001C528A" w:rsidRDefault="000D2912" w:rsidP="0090111E">
      <w:pPr>
        <w:pStyle w:val="Akapitzlist"/>
        <w:numPr>
          <w:ilvl w:val="0"/>
          <w:numId w:val="30"/>
        </w:numPr>
        <w:autoSpaceDE w:val="0"/>
        <w:autoSpaceDN w:val="0"/>
        <w:adjustRightInd w:val="0"/>
        <w:spacing w:after="0" w:line="240" w:lineRule="auto"/>
        <w:ind w:left="426" w:hanging="426"/>
        <w:jc w:val="both"/>
        <w:rPr>
          <w:rFonts w:cs="Arial"/>
        </w:rPr>
      </w:pPr>
      <w:r w:rsidRPr="001C528A">
        <w:rPr>
          <w:rFonts w:cs="Arial"/>
        </w:rPr>
        <w:t xml:space="preserve">wydatki poniesione na doradztwo związane z </w:t>
      </w:r>
      <w:r w:rsidR="00BD3A80" w:rsidRPr="001C528A">
        <w:rPr>
          <w:rFonts w:cs="Arial"/>
        </w:rPr>
        <w:t>realizacją</w:t>
      </w:r>
      <w:r w:rsidRPr="001C528A">
        <w:rPr>
          <w:rFonts w:cs="Arial"/>
        </w:rPr>
        <w:t xml:space="preserve"> projektu</w:t>
      </w:r>
      <w:r w:rsidR="00BD3A80" w:rsidRPr="001C528A">
        <w:rPr>
          <w:rFonts w:cs="Arial"/>
        </w:rPr>
        <w:t xml:space="preserve"> jeżeli będą świadczone przez doradców zewnętrznych oraz nie będą miały charakteru ciągłego ani okresowego, ani też nie będą związane ze zwykłymi kosztami operacyjnymi przedsiębiorstwa, takimi jak rutynowe usługi doradztwa podatkowego, regularne usługi prawnicze itp.</w:t>
      </w:r>
      <w:r w:rsidRPr="001C528A">
        <w:rPr>
          <w:rFonts w:cs="Arial"/>
        </w:rPr>
        <w:t>:</w:t>
      </w:r>
    </w:p>
    <w:p w:rsidR="000D2912" w:rsidRPr="001C528A" w:rsidRDefault="000D2912" w:rsidP="0090111E">
      <w:pPr>
        <w:pStyle w:val="Akapitzlist"/>
        <w:numPr>
          <w:ilvl w:val="0"/>
          <w:numId w:val="32"/>
        </w:numPr>
        <w:autoSpaceDE w:val="0"/>
        <w:autoSpaceDN w:val="0"/>
        <w:adjustRightInd w:val="0"/>
        <w:spacing w:after="0" w:line="240" w:lineRule="auto"/>
        <w:ind w:left="709" w:hanging="283"/>
        <w:jc w:val="both"/>
        <w:rPr>
          <w:rFonts w:cs="Arial"/>
          <w:i/>
          <w:iCs/>
        </w:rPr>
      </w:pPr>
      <w:r w:rsidRPr="001C528A">
        <w:rPr>
          <w:rFonts w:cs="Arial"/>
        </w:rPr>
        <w:t>prawne, z wyjątkiem wydatków związanych z przygotowaniem i obsługą spraw</w:t>
      </w:r>
      <w:r w:rsidR="00C72FB8">
        <w:rPr>
          <w:rFonts w:cs="Arial"/>
        </w:rPr>
        <w:t xml:space="preserve"> </w:t>
      </w:r>
      <w:r w:rsidR="001C528A" w:rsidRPr="001C528A">
        <w:rPr>
          <w:rFonts w:cs="Arial"/>
        </w:rPr>
        <w:t>sądowych, z zastrzeż</w:t>
      </w:r>
      <w:r w:rsidRPr="001C528A">
        <w:rPr>
          <w:rFonts w:cs="Arial"/>
        </w:rPr>
        <w:t xml:space="preserve">eniem podrozdziału 6.3 pkt 1 lit. i </w:t>
      </w:r>
      <w:r w:rsidRPr="001C528A">
        <w:rPr>
          <w:rFonts w:cs="Arial"/>
          <w:i/>
          <w:iCs/>
        </w:rPr>
        <w:t>Wytycznych</w:t>
      </w:r>
      <w:r w:rsidR="00BE7A1F" w:rsidRPr="001C528A">
        <w:rPr>
          <w:rStyle w:val="Odwoanieprzypisudolnego"/>
          <w:rFonts w:cs="Arial"/>
          <w:i/>
          <w:iCs/>
        </w:rPr>
        <w:footnoteReference w:id="8"/>
      </w:r>
      <w:r w:rsidRPr="001C528A">
        <w:rPr>
          <w:rFonts w:cs="Arial"/>
          <w:i/>
          <w:iCs/>
        </w:rPr>
        <w:t>,</w:t>
      </w:r>
    </w:p>
    <w:p w:rsidR="000D2912" w:rsidRPr="001C528A" w:rsidRDefault="000D2912" w:rsidP="0090111E">
      <w:pPr>
        <w:pStyle w:val="Akapitzlist"/>
        <w:numPr>
          <w:ilvl w:val="0"/>
          <w:numId w:val="32"/>
        </w:numPr>
        <w:autoSpaceDE w:val="0"/>
        <w:autoSpaceDN w:val="0"/>
        <w:adjustRightInd w:val="0"/>
        <w:spacing w:after="0" w:line="240" w:lineRule="auto"/>
        <w:ind w:left="709" w:hanging="283"/>
        <w:jc w:val="both"/>
        <w:rPr>
          <w:rFonts w:cs="Arial"/>
        </w:rPr>
      </w:pPr>
      <w:r w:rsidRPr="001C528A">
        <w:rPr>
          <w:rFonts w:cs="Arial"/>
        </w:rPr>
        <w:t>finansowe,</w:t>
      </w:r>
    </w:p>
    <w:p w:rsidR="000D2912" w:rsidRPr="001C528A" w:rsidRDefault="000D2912" w:rsidP="0090111E">
      <w:pPr>
        <w:pStyle w:val="Akapitzlist"/>
        <w:numPr>
          <w:ilvl w:val="0"/>
          <w:numId w:val="32"/>
        </w:numPr>
        <w:autoSpaceDE w:val="0"/>
        <w:autoSpaceDN w:val="0"/>
        <w:adjustRightInd w:val="0"/>
        <w:spacing w:after="0" w:line="240" w:lineRule="auto"/>
        <w:ind w:left="709" w:hanging="283"/>
        <w:jc w:val="both"/>
        <w:rPr>
          <w:rFonts w:cs="Arial"/>
        </w:rPr>
      </w:pPr>
      <w:r w:rsidRPr="001C528A">
        <w:rPr>
          <w:rFonts w:cs="Arial"/>
        </w:rPr>
        <w:t>techniczne,</w:t>
      </w:r>
    </w:p>
    <w:p w:rsidR="000D2912" w:rsidRPr="001C528A" w:rsidRDefault="000D2912" w:rsidP="0090111E">
      <w:pPr>
        <w:pStyle w:val="Akapitzlist"/>
        <w:numPr>
          <w:ilvl w:val="0"/>
          <w:numId w:val="30"/>
        </w:numPr>
        <w:autoSpaceDE w:val="0"/>
        <w:autoSpaceDN w:val="0"/>
        <w:adjustRightInd w:val="0"/>
        <w:spacing w:after="120" w:line="240" w:lineRule="auto"/>
        <w:ind w:left="426" w:hanging="426"/>
        <w:jc w:val="both"/>
        <w:rPr>
          <w:rFonts w:cs="Arial"/>
        </w:rPr>
      </w:pPr>
      <w:r w:rsidRPr="001C528A">
        <w:rPr>
          <w:rFonts w:cs="Arial"/>
        </w:rPr>
        <w:t>opłaty notarialne,</w:t>
      </w:r>
    </w:p>
    <w:p w:rsidR="000D2912" w:rsidRPr="001C528A" w:rsidRDefault="000D2912" w:rsidP="0090111E">
      <w:pPr>
        <w:pStyle w:val="Akapitzlist"/>
        <w:numPr>
          <w:ilvl w:val="0"/>
          <w:numId w:val="30"/>
        </w:numPr>
        <w:autoSpaceDE w:val="0"/>
        <w:autoSpaceDN w:val="0"/>
        <w:adjustRightInd w:val="0"/>
        <w:spacing w:after="0" w:line="240" w:lineRule="auto"/>
        <w:ind w:left="426" w:hanging="426"/>
        <w:jc w:val="both"/>
        <w:rPr>
          <w:rFonts w:cs="Arial"/>
        </w:rPr>
      </w:pPr>
      <w:r w:rsidRPr="001C528A">
        <w:rPr>
          <w:rFonts w:cs="Arial"/>
        </w:rPr>
        <w:t>opłaty administracyjne związane z uzyskiwaniem wszelkiego rodzaju pozwoleń czy</w:t>
      </w:r>
      <w:r w:rsidR="00C72FB8">
        <w:rPr>
          <w:rFonts w:cs="Arial"/>
        </w:rPr>
        <w:t xml:space="preserve"> </w:t>
      </w:r>
      <w:r w:rsidRPr="001C528A">
        <w:rPr>
          <w:rFonts w:cs="Arial"/>
        </w:rPr>
        <w:t xml:space="preserve">zgód </w:t>
      </w:r>
      <w:r w:rsidR="00BE7A1F" w:rsidRPr="001C528A">
        <w:rPr>
          <w:rFonts w:cs="Arial"/>
        </w:rPr>
        <w:t>n</w:t>
      </w:r>
      <w:r w:rsidRPr="001C528A">
        <w:rPr>
          <w:rFonts w:cs="Arial"/>
        </w:rPr>
        <w:t>iezbędnych do realizacji projektu, o ile faktycznie zostały poniesione przez</w:t>
      </w:r>
      <w:r w:rsidR="00C72FB8">
        <w:rPr>
          <w:rFonts w:cs="Arial"/>
        </w:rPr>
        <w:t xml:space="preserve"> </w:t>
      </w:r>
      <w:r w:rsidRPr="001C528A">
        <w:rPr>
          <w:rFonts w:cs="Arial"/>
        </w:rPr>
        <w:t>beneficjenta,</w:t>
      </w:r>
    </w:p>
    <w:p w:rsidR="000D2912" w:rsidRPr="001C528A" w:rsidRDefault="000D2912" w:rsidP="0090111E">
      <w:pPr>
        <w:pStyle w:val="Akapitzlist"/>
        <w:numPr>
          <w:ilvl w:val="0"/>
          <w:numId w:val="30"/>
        </w:numPr>
        <w:autoSpaceDE w:val="0"/>
        <w:autoSpaceDN w:val="0"/>
        <w:adjustRightInd w:val="0"/>
        <w:spacing w:after="0" w:line="240" w:lineRule="auto"/>
        <w:ind w:left="426" w:hanging="426"/>
        <w:jc w:val="both"/>
        <w:rPr>
          <w:rFonts w:cs="Arial"/>
        </w:rPr>
      </w:pPr>
      <w:r w:rsidRPr="001C528A">
        <w:rPr>
          <w:rFonts w:cs="Arial"/>
        </w:rPr>
        <w:t>wydatki poniesione z tytułu korzystania z infrastruktury udostępnionej w technologii</w:t>
      </w:r>
      <w:r w:rsidR="00C72FB8">
        <w:rPr>
          <w:rFonts w:cs="Arial"/>
        </w:rPr>
        <w:t xml:space="preserve"> </w:t>
      </w:r>
      <w:r w:rsidRPr="001C528A">
        <w:rPr>
          <w:rFonts w:cs="Arial"/>
        </w:rPr>
        <w:t>chmury obliczeniowej.</w:t>
      </w:r>
    </w:p>
    <w:p w:rsidR="00BE7A1F" w:rsidRDefault="00BE7A1F" w:rsidP="0090111E">
      <w:pPr>
        <w:pStyle w:val="Akapitzlist"/>
        <w:autoSpaceDE w:val="0"/>
        <w:autoSpaceDN w:val="0"/>
        <w:adjustRightInd w:val="0"/>
        <w:spacing w:after="0" w:line="240" w:lineRule="auto"/>
        <w:ind w:left="786"/>
        <w:jc w:val="both"/>
        <w:rPr>
          <w:rFonts w:ascii="Arial" w:hAnsi="Arial" w:cs="Arial"/>
          <w:highlight w:val="green"/>
        </w:rPr>
      </w:pPr>
    </w:p>
    <w:p w:rsidR="00BD01C4" w:rsidRPr="00F701F1" w:rsidRDefault="00E61A09" w:rsidP="0090111E">
      <w:pPr>
        <w:pStyle w:val="Akapitzlist"/>
        <w:numPr>
          <w:ilvl w:val="0"/>
          <w:numId w:val="21"/>
        </w:numPr>
        <w:spacing w:line="240" w:lineRule="auto"/>
        <w:ind w:left="425" w:hanging="425"/>
        <w:jc w:val="both"/>
        <w:rPr>
          <w:rFonts w:cs="Arial"/>
          <w:b/>
        </w:rPr>
      </w:pPr>
      <w:r>
        <w:rPr>
          <w:rFonts w:cs="Arial"/>
          <w:b/>
        </w:rPr>
        <w:t>K</w:t>
      </w:r>
      <w:r w:rsidR="00BD01C4" w:rsidRPr="00F701F1">
        <w:rPr>
          <w:rFonts w:cs="Arial"/>
          <w:b/>
        </w:rPr>
        <w:t>oszty ogólne i inne koszty operacyjne, w tym koszty materiałów, dostaw i podobnych produktów, ponoszone bezpośrednio w wyniku realizacji projektu;</w:t>
      </w:r>
    </w:p>
    <w:p w:rsidR="006C3AB9" w:rsidRPr="00F701F1" w:rsidRDefault="006C3AB9" w:rsidP="0090111E">
      <w:pPr>
        <w:pStyle w:val="Default"/>
        <w:jc w:val="both"/>
        <w:rPr>
          <w:rFonts w:asciiTheme="minorHAnsi" w:hAnsiTheme="minorHAnsi"/>
          <w:sz w:val="22"/>
          <w:szCs w:val="22"/>
        </w:rPr>
      </w:pPr>
      <w:r w:rsidRPr="00F701F1">
        <w:rPr>
          <w:rFonts w:asciiTheme="minorHAnsi" w:hAnsiTheme="minorHAnsi"/>
          <w:sz w:val="22"/>
          <w:szCs w:val="22"/>
        </w:rPr>
        <w:t>Do pozostałych kosztów operacyjnych zalicza się m.in. koszty materiałów, środków eksploatacyjnych</w:t>
      </w:r>
    </w:p>
    <w:p w:rsidR="006C3AB9" w:rsidRPr="00F701F1" w:rsidRDefault="006C3AB9" w:rsidP="0090111E">
      <w:pPr>
        <w:pStyle w:val="Default"/>
        <w:jc w:val="both"/>
        <w:rPr>
          <w:rFonts w:asciiTheme="minorHAnsi" w:hAnsiTheme="minorHAnsi"/>
          <w:sz w:val="22"/>
          <w:szCs w:val="22"/>
        </w:rPr>
      </w:pPr>
      <w:r w:rsidRPr="00F701F1">
        <w:rPr>
          <w:rFonts w:asciiTheme="minorHAnsi" w:hAnsiTheme="minorHAnsi"/>
          <w:sz w:val="22"/>
          <w:szCs w:val="22"/>
        </w:rPr>
        <w:t xml:space="preserve">i podobnych produktów ponoszone bezpośrednio w związku z realizacją projektu objętego pomocą. </w:t>
      </w:r>
    </w:p>
    <w:p w:rsidR="006C3AB9" w:rsidRPr="00F701F1" w:rsidRDefault="006C3AB9" w:rsidP="0090111E">
      <w:pPr>
        <w:pStyle w:val="Default"/>
        <w:jc w:val="both"/>
        <w:rPr>
          <w:rFonts w:asciiTheme="minorHAnsi" w:hAnsiTheme="minorHAnsi"/>
          <w:sz w:val="22"/>
          <w:szCs w:val="22"/>
        </w:rPr>
      </w:pPr>
      <w:r w:rsidRPr="00F701F1">
        <w:rPr>
          <w:rFonts w:asciiTheme="minorHAnsi" w:hAnsiTheme="minorHAnsi"/>
          <w:b/>
          <w:bCs/>
          <w:sz w:val="22"/>
          <w:szCs w:val="22"/>
        </w:rPr>
        <w:t xml:space="preserve">W ramach tej kategorii kwalifikowane są m.in. następujące rodzaje kosztów: </w:t>
      </w:r>
    </w:p>
    <w:p w:rsidR="006C3AB9" w:rsidRPr="00F701F1" w:rsidRDefault="006C3AB9" w:rsidP="0090111E">
      <w:pPr>
        <w:pStyle w:val="Default"/>
        <w:numPr>
          <w:ilvl w:val="0"/>
          <w:numId w:val="35"/>
        </w:numPr>
        <w:spacing w:after="58"/>
        <w:ind w:left="284" w:hanging="284"/>
        <w:jc w:val="both"/>
        <w:rPr>
          <w:rFonts w:asciiTheme="minorHAnsi" w:hAnsiTheme="minorHAnsi"/>
          <w:sz w:val="22"/>
          <w:szCs w:val="22"/>
        </w:rPr>
      </w:pPr>
      <w:r w:rsidRPr="00F701F1">
        <w:rPr>
          <w:rFonts w:asciiTheme="minorHAnsi" w:hAnsiTheme="minorHAnsi"/>
          <w:b/>
          <w:bCs/>
          <w:sz w:val="22"/>
          <w:szCs w:val="22"/>
        </w:rPr>
        <w:t>materiały</w:t>
      </w:r>
      <w:r w:rsidRPr="00F701F1">
        <w:rPr>
          <w:rFonts w:asciiTheme="minorHAnsi" w:hAnsiTheme="minorHAnsi"/>
          <w:sz w:val="22"/>
          <w:szCs w:val="22"/>
        </w:rPr>
        <w:t xml:space="preserve">, np. surowce, półprodukty, odczynniki; </w:t>
      </w:r>
    </w:p>
    <w:p w:rsidR="006C3AB9" w:rsidRDefault="006C3AB9" w:rsidP="0090111E">
      <w:pPr>
        <w:pStyle w:val="Default"/>
        <w:numPr>
          <w:ilvl w:val="0"/>
          <w:numId w:val="13"/>
        </w:numPr>
        <w:spacing w:after="58"/>
        <w:ind w:left="284" w:hanging="284"/>
        <w:jc w:val="both"/>
        <w:rPr>
          <w:rFonts w:asciiTheme="minorHAnsi" w:hAnsiTheme="minorHAnsi"/>
          <w:sz w:val="22"/>
          <w:szCs w:val="22"/>
        </w:rPr>
      </w:pPr>
      <w:r w:rsidRPr="00F701F1">
        <w:rPr>
          <w:rFonts w:asciiTheme="minorHAnsi" w:hAnsiTheme="minorHAnsi"/>
          <w:b/>
          <w:bCs/>
          <w:sz w:val="22"/>
          <w:szCs w:val="22"/>
        </w:rPr>
        <w:t xml:space="preserve">sprzęt laboratoryjny </w:t>
      </w:r>
      <w:r w:rsidRPr="00F701F1">
        <w:rPr>
          <w:rFonts w:asciiTheme="minorHAnsi" w:hAnsiTheme="minorHAnsi"/>
          <w:sz w:val="22"/>
          <w:szCs w:val="22"/>
        </w:rPr>
        <w:t xml:space="preserve">(co do zasady wszystkie zakupy niespełniające wymogu środka trwałego zgodnie z ustawą o rachunkowości oraz z przyjętą polityką rachunkowości); </w:t>
      </w:r>
    </w:p>
    <w:p w:rsidR="00805146" w:rsidRPr="00F701F1" w:rsidRDefault="00805146" w:rsidP="0090111E">
      <w:pPr>
        <w:pStyle w:val="Default"/>
        <w:numPr>
          <w:ilvl w:val="0"/>
          <w:numId w:val="13"/>
        </w:numPr>
        <w:spacing w:after="58"/>
        <w:ind w:left="284" w:hanging="284"/>
        <w:jc w:val="both"/>
        <w:rPr>
          <w:rFonts w:asciiTheme="minorHAnsi" w:hAnsiTheme="minorHAnsi"/>
          <w:sz w:val="22"/>
          <w:szCs w:val="22"/>
        </w:rPr>
      </w:pPr>
      <w:r>
        <w:rPr>
          <w:rFonts w:asciiTheme="minorHAnsi" w:hAnsiTheme="minorHAnsi"/>
          <w:b/>
          <w:bCs/>
          <w:sz w:val="22"/>
          <w:szCs w:val="22"/>
        </w:rPr>
        <w:t>serwis i kwalifikacja sprzętu laboratoryjnego;</w:t>
      </w:r>
    </w:p>
    <w:p w:rsidR="006C3AB9" w:rsidRPr="00F701F1" w:rsidRDefault="006C3AB9" w:rsidP="0090111E">
      <w:pPr>
        <w:pStyle w:val="Default"/>
        <w:numPr>
          <w:ilvl w:val="0"/>
          <w:numId w:val="13"/>
        </w:numPr>
        <w:ind w:left="284" w:hanging="284"/>
        <w:jc w:val="both"/>
        <w:rPr>
          <w:rFonts w:asciiTheme="minorHAnsi" w:hAnsiTheme="minorHAnsi"/>
          <w:sz w:val="22"/>
          <w:szCs w:val="22"/>
        </w:rPr>
      </w:pPr>
      <w:r w:rsidRPr="00F701F1">
        <w:rPr>
          <w:rFonts w:asciiTheme="minorHAnsi" w:hAnsiTheme="minorHAnsi"/>
          <w:b/>
          <w:bCs/>
          <w:sz w:val="22"/>
          <w:szCs w:val="22"/>
        </w:rPr>
        <w:t>wynajem powierzchni laboratoryjnej</w:t>
      </w:r>
      <w:r w:rsidRPr="00F701F1">
        <w:rPr>
          <w:rFonts w:asciiTheme="minorHAnsi" w:hAnsiTheme="minorHAnsi"/>
          <w:sz w:val="22"/>
          <w:szCs w:val="22"/>
        </w:rPr>
        <w:t xml:space="preserve">; </w:t>
      </w:r>
    </w:p>
    <w:p w:rsidR="006C3AB9" w:rsidRPr="00F701F1" w:rsidRDefault="006C3AB9" w:rsidP="0090111E">
      <w:pPr>
        <w:pStyle w:val="Akapitzlist"/>
        <w:numPr>
          <w:ilvl w:val="0"/>
          <w:numId w:val="13"/>
        </w:numPr>
        <w:autoSpaceDE w:val="0"/>
        <w:autoSpaceDN w:val="0"/>
        <w:adjustRightInd w:val="0"/>
        <w:spacing w:after="58" w:line="240" w:lineRule="auto"/>
        <w:ind w:left="284" w:hanging="284"/>
        <w:jc w:val="both"/>
        <w:rPr>
          <w:rFonts w:cs="Calibri"/>
          <w:color w:val="000000"/>
        </w:rPr>
      </w:pPr>
      <w:r w:rsidRPr="00F701F1">
        <w:rPr>
          <w:rFonts w:cs="Calibri"/>
          <w:b/>
          <w:bCs/>
          <w:color w:val="000000"/>
        </w:rPr>
        <w:lastRenderedPageBreak/>
        <w:t>elementy służące do budowy i na stałe zainstalowane w prototypie, instalacji pilotażowej lub demonstracyjnej</w:t>
      </w:r>
      <w:r w:rsidRPr="00F701F1">
        <w:rPr>
          <w:rFonts w:cs="Calibri"/>
          <w:color w:val="000000"/>
        </w:rPr>
        <w:t xml:space="preserve">; </w:t>
      </w:r>
    </w:p>
    <w:p w:rsidR="006C3AB9" w:rsidRPr="00805146" w:rsidRDefault="006C3AB9" w:rsidP="0090111E">
      <w:pPr>
        <w:pStyle w:val="Akapitzlist"/>
        <w:numPr>
          <w:ilvl w:val="0"/>
          <w:numId w:val="13"/>
        </w:numPr>
        <w:autoSpaceDE w:val="0"/>
        <w:autoSpaceDN w:val="0"/>
        <w:adjustRightInd w:val="0"/>
        <w:spacing w:after="58" w:line="240" w:lineRule="auto"/>
        <w:ind w:left="284" w:hanging="284"/>
        <w:jc w:val="both"/>
        <w:rPr>
          <w:rFonts w:cs="Calibri"/>
        </w:rPr>
      </w:pPr>
      <w:r w:rsidRPr="00805146">
        <w:rPr>
          <w:rFonts w:cs="Calibri"/>
          <w:b/>
          <w:bCs/>
          <w:color w:val="000000"/>
        </w:rPr>
        <w:t xml:space="preserve">koszty </w:t>
      </w:r>
      <w:r w:rsidR="00FD408A" w:rsidRPr="00805146">
        <w:rPr>
          <w:b/>
        </w:rPr>
        <w:t>informacyjno – promocyjne</w:t>
      </w:r>
      <w:r w:rsidRPr="00805146">
        <w:rPr>
          <w:rFonts w:cs="Calibri"/>
          <w:b/>
          <w:bCs/>
          <w:color w:val="000000"/>
        </w:rPr>
        <w:t xml:space="preserve">projektu </w:t>
      </w:r>
      <w:r w:rsidR="00FD408A" w:rsidRPr="00805146">
        <w:t xml:space="preserve">obejmujące zarówno obowiązki informacyjne beneficjenta jak i możliwość podjęcia dodatkowych działań informacyjno-promocyjnych. Wydatki </w:t>
      </w:r>
      <w:r w:rsidR="003511C4" w:rsidRPr="00805146">
        <w:t>nie przekraczające 2% wydatków kwalifikowalnych dla projektów o wartości poniżej 500 000 PLN wydatków kwalifikowalnych lub 1% dla projektów o wartości wydatków kwalifikowalnych powyżej 500 000 PLN. Limit weryfikowany jest jednorazowo w momencie oceny wniosku o dofinansowanie.</w:t>
      </w:r>
      <w:r w:rsidR="00FD408A" w:rsidRPr="00805146">
        <w:t xml:space="preserve"> Zasady ponoszenia kosztów w ramach tej kategorii zostały zawarte w </w:t>
      </w:r>
      <w:r w:rsidR="00FD408A" w:rsidRPr="00805146">
        <w:rPr>
          <w:bCs/>
          <w:i/>
          <w:lang w:eastAsia="pl-PL"/>
        </w:rPr>
        <w:t>Podręczniku wnioskodawcy i beneficjenta programów polityki spójności 2014-2020 w zakresie informacji i promocji</w:t>
      </w:r>
      <w:r w:rsidR="009364F9">
        <w:rPr>
          <w:bCs/>
          <w:lang w:eastAsia="pl-PL"/>
        </w:rPr>
        <w:t>, który stanowi załącznik do R</w:t>
      </w:r>
      <w:r w:rsidR="00FD408A" w:rsidRPr="00805146">
        <w:rPr>
          <w:bCs/>
          <w:lang w:eastAsia="pl-PL"/>
        </w:rPr>
        <w:t xml:space="preserve">egulaminu konkursu nr </w:t>
      </w:r>
      <w:r w:rsidR="009364F9">
        <w:rPr>
          <w:bCs/>
          <w:lang w:eastAsia="pl-PL"/>
        </w:rPr>
        <w:t>9</w:t>
      </w:r>
      <w:r w:rsidRPr="00805146">
        <w:rPr>
          <w:rFonts w:cs="Calibri"/>
        </w:rPr>
        <w:t xml:space="preserve">; </w:t>
      </w:r>
    </w:p>
    <w:p w:rsidR="004D60F8" w:rsidRPr="00827088" w:rsidRDefault="004D60F8" w:rsidP="0090111E">
      <w:pPr>
        <w:pStyle w:val="Akapitzlist"/>
        <w:numPr>
          <w:ilvl w:val="0"/>
          <w:numId w:val="13"/>
        </w:numPr>
        <w:autoSpaceDE w:val="0"/>
        <w:autoSpaceDN w:val="0"/>
        <w:adjustRightInd w:val="0"/>
        <w:spacing w:after="58" w:line="240" w:lineRule="auto"/>
        <w:ind w:left="284" w:hanging="284"/>
        <w:jc w:val="both"/>
        <w:rPr>
          <w:rFonts w:cs="Calibri"/>
          <w:b/>
          <w:color w:val="000000"/>
        </w:rPr>
      </w:pPr>
      <w:r w:rsidRPr="00827088">
        <w:rPr>
          <w:rFonts w:ascii="Calibri" w:hAnsi="Calibri"/>
          <w:b/>
        </w:rPr>
        <w:t>kosztów zgłoszenia wynalazku, wzoru użytkowego i wzoru przemysłowego do urzędów patentowych (</w:t>
      </w:r>
      <w:r w:rsidRPr="00827088">
        <w:rPr>
          <w:rFonts w:ascii="Calibri" w:hAnsi="Calibri"/>
        </w:rPr>
        <w:t>z wyłączeniem kosztów związanych z postępowaniami sądowymi</w:t>
      </w:r>
      <w:r w:rsidRPr="00827088">
        <w:rPr>
          <w:rFonts w:ascii="Calibri" w:hAnsi="Calibri"/>
          <w:b/>
        </w:rPr>
        <w:t>)</w:t>
      </w:r>
    </w:p>
    <w:p w:rsidR="006C3AB9" w:rsidRPr="00F04CB0" w:rsidRDefault="006C3AB9" w:rsidP="0090111E">
      <w:pPr>
        <w:spacing w:line="240" w:lineRule="auto"/>
        <w:jc w:val="both"/>
        <w:rPr>
          <w:rFonts w:cs="Arial"/>
        </w:rPr>
      </w:pPr>
    </w:p>
    <w:p w:rsidR="00E61A09" w:rsidRDefault="00E61A09" w:rsidP="0090111E">
      <w:pPr>
        <w:pStyle w:val="Akapitzlist"/>
        <w:numPr>
          <w:ilvl w:val="0"/>
          <w:numId w:val="21"/>
        </w:numPr>
        <w:spacing w:line="240" w:lineRule="auto"/>
        <w:ind w:left="284" w:hanging="284"/>
        <w:jc w:val="both"/>
        <w:rPr>
          <w:b/>
        </w:rPr>
      </w:pPr>
      <w:r>
        <w:rPr>
          <w:b/>
        </w:rPr>
        <w:t>Koszty</w:t>
      </w:r>
      <w:r w:rsidR="00A71456">
        <w:rPr>
          <w:b/>
        </w:rPr>
        <w:t xml:space="preserve"> przygotowania</w:t>
      </w:r>
      <w:r w:rsidR="007071F1" w:rsidRPr="00F701F1">
        <w:rPr>
          <w:b/>
        </w:rPr>
        <w:t xml:space="preserve"> dokumentacji projektu </w:t>
      </w:r>
    </w:p>
    <w:p w:rsidR="007071F1" w:rsidRPr="00E61A09" w:rsidRDefault="003258B6" w:rsidP="0090111E">
      <w:pPr>
        <w:spacing w:line="240" w:lineRule="auto"/>
        <w:jc w:val="both"/>
      </w:pPr>
      <w:r>
        <w:t>Wydatek kwalifikowalny stanowić będą w</w:t>
      </w:r>
      <w:r w:rsidRPr="00E969AF">
        <w:t>ydatki na przygotowanie dokumentacji projektu</w:t>
      </w:r>
      <w:r w:rsidR="007071F1" w:rsidRPr="00E61A09">
        <w:t>(wymaganej prawem krajowym lub wspólnotowym, bądź przez IZ RPO WD) nie przekraczające 8% wartości całkowitych wydatków kwalifikowalnych projektu. Limit ten weryfikowany jest jednorazowo na etapie oceny wniosku o dofinansowanie. Wydatki poniesione na dokumenty o charakterze planistycznym, takie jak Lokalny Plan Rewitalizacji czy Program Gospodarki Niskoemisyjnej nie mogą stanowić kosztó</w:t>
      </w:r>
      <w:r w:rsidR="00F701F1" w:rsidRPr="00E61A09">
        <w:t>w kwalifikowalnych w projekcie.</w:t>
      </w:r>
    </w:p>
    <w:p w:rsidR="00A71456" w:rsidRPr="00A71456" w:rsidRDefault="007071F1" w:rsidP="00362102">
      <w:pPr>
        <w:spacing w:line="240" w:lineRule="auto"/>
        <w:jc w:val="both"/>
      </w:pPr>
      <w:r w:rsidRPr="00F701F1">
        <w:t xml:space="preserve">Wydatkiem kwalifikowalnym może być w szczególności wydatek poniesiony na </w:t>
      </w:r>
      <w:r w:rsidRPr="00F701F1">
        <w:rPr>
          <w:b/>
        </w:rPr>
        <w:t>opracowanie</w:t>
      </w:r>
      <w:r w:rsidRPr="00F701F1">
        <w:t xml:space="preserve"> dokumentacji zwią</w:t>
      </w:r>
      <w:r w:rsidR="00805146">
        <w:t xml:space="preserve">zanej z przygotowaniem projektu, w tym </w:t>
      </w:r>
      <w:r w:rsidRPr="00F701F1">
        <w:rPr>
          <w:rFonts w:eastAsia="Times New Roman" w:cs="Times New Roman"/>
        </w:rPr>
        <w:t xml:space="preserve">inna dokumentacja techniczna lub finansowa niezbędna do realizacji projektu </w:t>
      </w:r>
    </w:p>
    <w:p w:rsidR="007071F1" w:rsidRPr="00805146" w:rsidRDefault="00A71456" w:rsidP="0090111E">
      <w:pPr>
        <w:spacing w:after="0" w:line="240" w:lineRule="auto"/>
        <w:jc w:val="both"/>
        <w:rPr>
          <w:lang w:eastAsia="pl-PL"/>
        </w:rPr>
      </w:pPr>
      <w:r w:rsidRPr="00805146">
        <w:rPr>
          <w:lang w:eastAsia="pl-PL"/>
        </w:rPr>
        <w:t>Wyżej wymienione koszty mogą zostać poniesione przed dniem rozpoczęcia realizacji projektu, co nie powoduje rozpoczęcia realizacji projektu, jednakże nie wcześniej niż po 01.01.2014 r.</w:t>
      </w:r>
    </w:p>
    <w:p w:rsidR="00A71456" w:rsidRPr="00F04CB0" w:rsidRDefault="00A71456" w:rsidP="0090111E">
      <w:pPr>
        <w:spacing w:after="0" w:line="240" w:lineRule="auto"/>
        <w:jc w:val="both"/>
        <w:rPr>
          <w:highlight w:val="yellow"/>
          <w:lang w:eastAsia="pl-PL"/>
        </w:rPr>
      </w:pPr>
    </w:p>
    <w:p w:rsidR="00E61A09" w:rsidRDefault="00E61A09" w:rsidP="0090111E">
      <w:pPr>
        <w:pStyle w:val="Akapitzlist"/>
        <w:numPr>
          <w:ilvl w:val="0"/>
          <w:numId w:val="21"/>
        </w:numPr>
        <w:spacing w:line="240" w:lineRule="auto"/>
        <w:ind w:left="426" w:hanging="426"/>
        <w:jc w:val="both"/>
        <w:rPr>
          <w:b/>
        </w:rPr>
      </w:pPr>
      <w:r>
        <w:rPr>
          <w:b/>
          <w:lang w:eastAsia="pl-PL"/>
        </w:rPr>
        <w:t xml:space="preserve">Koszt podatku VAT </w:t>
      </w:r>
    </w:p>
    <w:p w:rsidR="007071F1" w:rsidRDefault="00AF5E31" w:rsidP="0090111E">
      <w:pPr>
        <w:spacing w:line="240" w:lineRule="auto"/>
        <w:jc w:val="both"/>
      </w:pPr>
      <w:r w:rsidRPr="00E61A09">
        <w:t>Podatek VAT w stosunku do wydatków, dla których beneficjent odlicza ten podatek częściowo wg proporcji ustalonej zgodnie z art. 90 ust. 2 ustawy o VAT, jest kwalifikowalny, o ile beneficjent ustanowi dla projektu przejrzysty systemy ewidencjonowania i rozliczania tego podatku i będzie w stanie udowodnić w sposób nie budzący wątpliwości, w jakiej części oraz w jakim zakresie VAT w projekcie może być kwalifikowalny</w:t>
      </w:r>
    </w:p>
    <w:p w:rsidR="006279A9" w:rsidRPr="00827088" w:rsidRDefault="006279A9" w:rsidP="0090111E">
      <w:pPr>
        <w:pStyle w:val="Akapitzlist"/>
        <w:numPr>
          <w:ilvl w:val="0"/>
          <w:numId w:val="21"/>
        </w:numPr>
        <w:spacing w:line="240" w:lineRule="auto"/>
        <w:ind w:left="426" w:hanging="426"/>
        <w:jc w:val="both"/>
        <w:rPr>
          <w:b/>
        </w:rPr>
      </w:pPr>
      <w:r w:rsidRPr="00827088">
        <w:rPr>
          <w:b/>
        </w:rPr>
        <w:t>Cross – financing</w:t>
      </w:r>
    </w:p>
    <w:p w:rsidR="00827088" w:rsidRPr="00E61A09" w:rsidRDefault="00827088" w:rsidP="0090111E">
      <w:pPr>
        <w:pStyle w:val="Akapitzlist"/>
        <w:spacing w:line="240" w:lineRule="auto"/>
        <w:ind w:left="0"/>
        <w:jc w:val="both"/>
      </w:pPr>
      <w:r>
        <w:t xml:space="preserve">Kosztem kwalifikowalnym są </w:t>
      </w:r>
      <w:r>
        <w:rPr>
          <w:rFonts w:ascii="Calibri" w:hAnsi="Calibri"/>
        </w:rPr>
        <w:t>d</w:t>
      </w:r>
      <w:r w:rsidRPr="00E9671D">
        <w:rPr>
          <w:rFonts w:ascii="Calibri" w:hAnsi="Calibri"/>
        </w:rPr>
        <w:t>ziałania związane</w:t>
      </w:r>
      <w:r>
        <w:rPr>
          <w:rFonts w:ascii="Calibri" w:hAnsi="Calibri"/>
        </w:rPr>
        <w:t xml:space="preserve"> z </w:t>
      </w:r>
      <w:r w:rsidRPr="00E9671D">
        <w:rPr>
          <w:rFonts w:ascii="Calibri" w:hAnsi="Calibri"/>
        </w:rPr>
        <w:t xml:space="preserve">rozwojem umiejętności </w:t>
      </w:r>
      <w:r>
        <w:rPr>
          <w:rFonts w:ascii="Calibri" w:hAnsi="Calibri"/>
        </w:rPr>
        <w:t xml:space="preserve">kadr przedsiębiorstwa– do 5 % </w:t>
      </w:r>
      <w:r w:rsidR="000D318A">
        <w:rPr>
          <w:rFonts w:ascii="Calibri" w:hAnsi="Calibri"/>
        </w:rPr>
        <w:t>całkowitych kosztów kwalifikowalnych projektu</w:t>
      </w:r>
      <w:r>
        <w:rPr>
          <w:rFonts w:ascii="Calibri" w:hAnsi="Calibri"/>
        </w:rPr>
        <w:t>.</w:t>
      </w:r>
    </w:p>
    <w:p w:rsidR="00B47C34" w:rsidRPr="00B47C34" w:rsidRDefault="00B47C34" w:rsidP="0090111E">
      <w:pPr>
        <w:pStyle w:val="Akapitzlist"/>
        <w:spacing w:line="240" w:lineRule="auto"/>
        <w:ind w:left="426"/>
        <w:jc w:val="both"/>
        <w:rPr>
          <w:b/>
        </w:rPr>
      </w:pPr>
    </w:p>
    <w:p w:rsidR="00815531" w:rsidRPr="00D61417" w:rsidRDefault="00133D80" w:rsidP="0090111E">
      <w:pPr>
        <w:pStyle w:val="Akapitzlist"/>
        <w:numPr>
          <w:ilvl w:val="0"/>
          <w:numId w:val="21"/>
        </w:numPr>
        <w:spacing w:line="240" w:lineRule="auto"/>
        <w:ind w:left="426" w:hanging="426"/>
        <w:jc w:val="both"/>
        <w:rPr>
          <w:b/>
        </w:rPr>
      </w:pPr>
      <w:r w:rsidRPr="00D61417">
        <w:rPr>
          <w:b/>
        </w:rPr>
        <w:t>W</w:t>
      </w:r>
      <w:r w:rsidR="00815531" w:rsidRPr="00D61417">
        <w:rPr>
          <w:b/>
        </w:rPr>
        <w:t>kład niepieniężny</w:t>
      </w:r>
    </w:p>
    <w:p w:rsidR="00CA0BAE" w:rsidRPr="00D61417" w:rsidRDefault="00CA0BAE" w:rsidP="0090111E">
      <w:pPr>
        <w:spacing w:line="240" w:lineRule="auto"/>
        <w:ind w:left="66"/>
        <w:jc w:val="both"/>
      </w:pPr>
      <w:r w:rsidRPr="00D61417">
        <w:t xml:space="preserve">Wkład niepieniężny może stanowić wydatek kwalifikowalny tylko i wyłącznie w ramach wkładu własnego wniesionego na rzecz projektu. </w:t>
      </w:r>
    </w:p>
    <w:p w:rsidR="00CA0BAE" w:rsidRPr="00D61417" w:rsidRDefault="00CA0BAE" w:rsidP="0090111E">
      <w:pPr>
        <w:spacing w:line="240" w:lineRule="auto"/>
        <w:ind w:left="66"/>
        <w:jc w:val="both"/>
      </w:pPr>
      <w:r w:rsidRPr="00D61417">
        <w:t xml:space="preserve">Wkład niepieniężny w ramach wkładu własnego przeznaczony na pokrycie wydatków kwalifikowalnych nie może przekroczyć </w:t>
      </w:r>
      <w:r w:rsidRPr="00694F9E">
        <w:rPr>
          <w:b/>
        </w:rPr>
        <w:t xml:space="preserve">10% wartości </w:t>
      </w:r>
      <w:r w:rsidR="00694F9E" w:rsidRPr="00694F9E">
        <w:rPr>
          <w:b/>
        </w:rPr>
        <w:t>wydatków kwalifikowalnych.</w:t>
      </w:r>
    </w:p>
    <w:p w:rsidR="001D5981" w:rsidRPr="00D61417" w:rsidRDefault="001D5981" w:rsidP="0090111E">
      <w:pPr>
        <w:pStyle w:val="Akapitzlist"/>
        <w:numPr>
          <w:ilvl w:val="0"/>
          <w:numId w:val="15"/>
        </w:numPr>
        <w:autoSpaceDE w:val="0"/>
        <w:autoSpaceDN w:val="0"/>
        <w:adjustRightInd w:val="0"/>
        <w:spacing w:after="0" w:line="240" w:lineRule="auto"/>
        <w:ind w:left="284" w:hanging="284"/>
        <w:jc w:val="both"/>
        <w:rPr>
          <w:rFonts w:cs="Arial"/>
        </w:rPr>
      </w:pPr>
      <w:r w:rsidRPr="00D61417">
        <w:rPr>
          <w:rFonts w:cs="Arial"/>
        </w:rPr>
        <w:t>Wkład niepieniężny powinien być wnoszony przez beneficjenta ze składników jego</w:t>
      </w:r>
      <w:r w:rsidR="00C72FB8">
        <w:rPr>
          <w:rFonts w:cs="Arial"/>
        </w:rPr>
        <w:t xml:space="preserve"> </w:t>
      </w:r>
      <w:r w:rsidRPr="00D61417">
        <w:rPr>
          <w:rFonts w:cs="Arial"/>
        </w:rPr>
        <w:t>majątku lub z majątku innych podmiotów, jeżeli możliwość taka wynika z przepisów</w:t>
      </w:r>
      <w:r w:rsidR="00C72FB8">
        <w:rPr>
          <w:rFonts w:cs="Arial"/>
        </w:rPr>
        <w:t xml:space="preserve"> </w:t>
      </w:r>
      <w:r w:rsidRPr="00D61417">
        <w:rPr>
          <w:rFonts w:cs="Arial"/>
        </w:rPr>
        <w:t>prawa oraz zostanie to ujęte w zatwierdzonym wniosku o dofinansowanie, lub w postaci</w:t>
      </w:r>
      <w:r w:rsidR="00C72FB8">
        <w:rPr>
          <w:rFonts w:cs="Arial"/>
        </w:rPr>
        <w:t xml:space="preserve"> </w:t>
      </w:r>
      <w:r w:rsidRPr="00D61417">
        <w:rPr>
          <w:rFonts w:cs="Arial"/>
        </w:rPr>
        <w:t>świadczeń wykonywanych przez wolontariuszy.</w:t>
      </w:r>
    </w:p>
    <w:p w:rsidR="001D5981" w:rsidRPr="00D61417" w:rsidRDefault="001D5981" w:rsidP="0090111E">
      <w:pPr>
        <w:pStyle w:val="Akapitzlist"/>
        <w:numPr>
          <w:ilvl w:val="0"/>
          <w:numId w:val="15"/>
        </w:numPr>
        <w:autoSpaceDE w:val="0"/>
        <w:autoSpaceDN w:val="0"/>
        <w:adjustRightInd w:val="0"/>
        <w:spacing w:after="0" w:line="240" w:lineRule="auto"/>
        <w:ind w:left="284" w:hanging="284"/>
        <w:jc w:val="both"/>
        <w:rPr>
          <w:rFonts w:cs="Arial"/>
        </w:rPr>
      </w:pPr>
      <w:r w:rsidRPr="00D61417">
        <w:rPr>
          <w:rFonts w:cs="Arial"/>
        </w:rPr>
        <w:t>Warunki kwalifikowalności wkładu niepieniężnego są następujące:</w:t>
      </w:r>
    </w:p>
    <w:p w:rsidR="001D5981" w:rsidRPr="00D61417" w:rsidRDefault="001D5981" w:rsidP="0090111E">
      <w:pPr>
        <w:pStyle w:val="Akapitzlist"/>
        <w:numPr>
          <w:ilvl w:val="0"/>
          <w:numId w:val="14"/>
        </w:numPr>
        <w:autoSpaceDE w:val="0"/>
        <w:autoSpaceDN w:val="0"/>
        <w:adjustRightInd w:val="0"/>
        <w:spacing w:after="0" w:line="240" w:lineRule="auto"/>
        <w:ind w:left="567" w:hanging="283"/>
        <w:jc w:val="both"/>
        <w:rPr>
          <w:rFonts w:cs="Arial"/>
        </w:rPr>
      </w:pPr>
      <w:r w:rsidRPr="00D61417">
        <w:rPr>
          <w:rFonts w:cs="Arial"/>
        </w:rPr>
        <w:t>wkład niepieniężny polega na wniesieniu (wykorzystaniu na rzecz projektu)nieruchomości, urządzeń, materiałów (surowców), wartości niematerialnych</w:t>
      </w:r>
      <w:r w:rsidR="00C72FB8">
        <w:rPr>
          <w:rFonts w:cs="Arial"/>
        </w:rPr>
        <w:t xml:space="preserve"> </w:t>
      </w:r>
      <w:r w:rsidRPr="00D61417">
        <w:rPr>
          <w:rFonts w:cs="Arial"/>
        </w:rPr>
        <w:t xml:space="preserve">i prawnych, ekspertyz lub </w:t>
      </w:r>
      <w:r w:rsidRPr="00D61417">
        <w:rPr>
          <w:rFonts w:cs="Arial"/>
        </w:rPr>
        <w:lastRenderedPageBreak/>
        <w:t>nieodpłatnej pracy wykonywanej przez wolontariuszy</w:t>
      </w:r>
      <w:r w:rsidR="00C72FB8">
        <w:rPr>
          <w:rFonts w:cs="Arial"/>
        </w:rPr>
        <w:t xml:space="preserve"> </w:t>
      </w:r>
      <w:r w:rsidRPr="00D61417">
        <w:rPr>
          <w:rFonts w:cs="Arial"/>
        </w:rPr>
        <w:t>na podstawie ustawy z dnia 24 kwietnia 2003 r. o działalności pożytku publicznego</w:t>
      </w:r>
      <w:r w:rsidR="00C72FB8">
        <w:rPr>
          <w:rFonts w:cs="Arial"/>
        </w:rPr>
        <w:t xml:space="preserve"> </w:t>
      </w:r>
      <w:r w:rsidRPr="00D61417">
        <w:rPr>
          <w:rFonts w:cs="Arial"/>
        </w:rPr>
        <w:t>i o wolontariacie,</w:t>
      </w:r>
    </w:p>
    <w:p w:rsidR="001D5981" w:rsidRPr="00D61417" w:rsidRDefault="001D5981" w:rsidP="0090111E">
      <w:pPr>
        <w:pStyle w:val="Akapitzlist"/>
        <w:numPr>
          <w:ilvl w:val="0"/>
          <w:numId w:val="14"/>
        </w:numPr>
        <w:autoSpaceDE w:val="0"/>
        <w:autoSpaceDN w:val="0"/>
        <w:adjustRightInd w:val="0"/>
        <w:spacing w:after="0" w:line="240" w:lineRule="auto"/>
        <w:ind w:left="567" w:hanging="283"/>
        <w:jc w:val="both"/>
        <w:rPr>
          <w:rFonts w:cs="Arial"/>
        </w:rPr>
      </w:pPr>
      <w:r w:rsidRPr="00D61417">
        <w:rPr>
          <w:rFonts w:cs="Arial"/>
        </w:rPr>
        <w:t>wartość wkładu niepieniężnego została należycie potwierdzona dokumentami</w:t>
      </w:r>
      <w:r w:rsidR="00C72FB8">
        <w:rPr>
          <w:rFonts w:cs="Arial"/>
        </w:rPr>
        <w:t xml:space="preserve"> </w:t>
      </w:r>
      <w:r w:rsidRPr="00D61417">
        <w:rPr>
          <w:rFonts w:cs="Arial"/>
        </w:rPr>
        <w:t>o wartości dowodowej równoważnej fakturom,</w:t>
      </w:r>
    </w:p>
    <w:p w:rsidR="001D5981" w:rsidRPr="00D61417" w:rsidRDefault="001D5981" w:rsidP="0090111E">
      <w:pPr>
        <w:pStyle w:val="Akapitzlist"/>
        <w:numPr>
          <w:ilvl w:val="0"/>
          <w:numId w:val="14"/>
        </w:numPr>
        <w:autoSpaceDE w:val="0"/>
        <w:autoSpaceDN w:val="0"/>
        <w:adjustRightInd w:val="0"/>
        <w:spacing w:after="0" w:line="240" w:lineRule="auto"/>
        <w:ind w:left="567" w:hanging="283"/>
        <w:jc w:val="both"/>
        <w:rPr>
          <w:rFonts w:cs="Arial"/>
        </w:rPr>
      </w:pPr>
      <w:r w:rsidRPr="00D61417">
        <w:rPr>
          <w:rFonts w:cs="Arial"/>
        </w:rPr>
        <w:t>wartość przypisana wkładowi niepieniężnemu nie przekracza stawek rynkowych,</w:t>
      </w:r>
    </w:p>
    <w:p w:rsidR="001D5981" w:rsidRPr="00D61417" w:rsidRDefault="001D5981" w:rsidP="0090111E">
      <w:pPr>
        <w:pStyle w:val="Akapitzlist"/>
        <w:numPr>
          <w:ilvl w:val="0"/>
          <w:numId w:val="14"/>
        </w:numPr>
        <w:autoSpaceDE w:val="0"/>
        <w:autoSpaceDN w:val="0"/>
        <w:adjustRightInd w:val="0"/>
        <w:spacing w:after="0" w:line="240" w:lineRule="auto"/>
        <w:ind w:left="567" w:hanging="283"/>
        <w:jc w:val="both"/>
        <w:rPr>
          <w:rFonts w:cs="Arial"/>
        </w:rPr>
      </w:pPr>
      <w:r w:rsidRPr="00D61417">
        <w:rPr>
          <w:rFonts w:cs="Arial"/>
        </w:rPr>
        <w:t>wartość i dostarczenie wkładu niepieniężnego mogą być poddane niezależnej</w:t>
      </w:r>
      <w:r w:rsidR="00C72FB8">
        <w:rPr>
          <w:rFonts w:cs="Arial"/>
        </w:rPr>
        <w:t xml:space="preserve"> </w:t>
      </w:r>
      <w:r w:rsidRPr="00D61417">
        <w:rPr>
          <w:rFonts w:cs="Arial"/>
        </w:rPr>
        <w:t>ocenie i weryfikacji,</w:t>
      </w:r>
    </w:p>
    <w:p w:rsidR="001D5981" w:rsidRPr="00D61417" w:rsidRDefault="001D5981" w:rsidP="0090111E">
      <w:pPr>
        <w:pStyle w:val="Akapitzlist"/>
        <w:numPr>
          <w:ilvl w:val="0"/>
          <w:numId w:val="14"/>
        </w:numPr>
        <w:autoSpaceDE w:val="0"/>
        <w:autoSpaceDN w:val="0"/>
        <w:adjustRightInd w:val="0"/>
        <w:spacing w:after="0" w:line="240" w:lineRule="auto"/>
        <w:ind w:left="567" w:hanging="283"/>
        <w:jc w:val="both"/>
        <w:rPr>
          <w:rFonts w:cs="Arial"/>
        </w:rPr>
      </w:pPr>
      <w:r w:rsidRPr="00D61417">
        <w:rPr>
          <w:rFonts w:cs="Arial"/>
        </w:rPr>
        <w:t>w przypadku wykorzystania nieruchomości na rzecz projektu jej wartość nie</w:t>
      </w:r>
      <w:r w:rsidR="00C72FB8">
        <w:rPr>
          <w:rFonts w:cs="Arial"/>
        </w:rPr>
        <w:t xml:space="preserve"> </w:t>
      </w:r>
      <w:r w:rsidRPr="00D61417">
        <w:rPr>
          <w:rFonts w:cs="Arial"/>
        </w:rPr>
        <w:t>przekracza wartości rynkowej</w:t>
      </w:r>
      <w:r w:rsidRPr="00D61417">
        <w:rPr>
          <w:rStyle w:val="Odwoanieprzypisudolnego"/>
          <w:rFonts w:cs="Arial"/>
        </w:rPr>
        <w:footnoteReference w:id="9"/>
      </w:r>
      <w:r w:rsidRPr="00D61417">
        <w:rPr>
          <w:rFonts w:cs="Arial"/>
        </w:rPr>
        <w:t>; ponadto wartość nieruchomości jest potwierdzona</w:t>
      </w:r>
      <w:r w:rsidR="00C72FB8">
        <w:rPr>
          <w:rFonts w:cs="Arial"/>
        </w:rPr>
        <w:t xml:space="preserve"> </w:t>
      </w:r>
      <w:r w:rsidRPr="00D61417">
        <w:rPr>
          <w:rFonts w:cs="Arial"/>
        </w:rPr>
        <w:t>operatem szacunkowym sporządzonym przez uprawnionego rzeczoznawcę</w:t>
      </w:r>
      <w:r w:rsidR="00C72FB8">
        <w:rPr>
          <w:rFonts w:cs="Arial"/>
        </w:rPr>
        <w:t xml:space="preserve"> </w:t>
      </w:r>
      <w:r w:rsidRPr="00D61417">
        <w:rPr>
          <w:rFonts w:cs="Arial"/>
        </w:rPr>
        <w:t>zgodnie z przepisami ustawy z dnia 21 sierpnia 1997 r. o gospodarce</w:t>
      </w:r>
      <w:r w:rsidR="00C72FB8">
        <w:rPr>
          <w:rFonts w:cs="Arial"/>
        </w:rPr>
        <w:t xml:space="preserve"> </w:t>
      </w:r>
      <w:r w:rsidRPr="00D61417">
        <w:rPr>
          <w:rFonts w:cs="Arial"/>
        </w:rPr>
        <w:t xml:space="preserve">nieruchomościami (Dz. U. z 2014 r. poz. 518, z późn. zm.) – aktualnym </w:t>
      </w:r>
      <w:r w:rsidRPr="00D61417">
        <w:rPr>
          <w:rStyle w:val="Odwoanieprzypisudolnego"/>
          <w:rFonts w:cs="Arial"/>
        </w:rPr>
        <w:footnoteReference w:id="10"/>
      </w:r>
      <w:r w:rsidRPr="00D61417">
        <w:rPr>
          <w:rFonts w:cs="Arial"/>
        </w:rPr>
        <w:t>w momencie złożenia rozliczającego go wniosku o płatność,</w:t>
      </w:r>
    </w:p>
    <w:p w:rsidR="001D5981" w:rsidRPr="00D61417" w:rsidRDefault="001D5981" w:rsidP="0090111E">
      <w:pPr>
        <w:pStyle w:val="Akapitzlist"/>
        <w:numPr>
          <w:ilvl w:val="0"/>
          <w:numId w:val="14"/>
        </w:numPr>
        <w:spacing w:line="240" w:lineRule="auto"/>
        <w:ind w:left="567" w:hanging="283"/>
        <w:jc w:val="both"/>
        <w:rPr>
          <w:rFonts w:cs="Arial"/>
        </w:rPr>
      </w:pPr>
      <w:r w:rsidRPr="00D61417">
        <w:rPr>
          <w:rFonts w:cs="Arial"/>
        </w:rPr>
        <w:t>w przypadku wniesienia nieodpłatnej pracy spełnione są warunki, o których mowa w pkt 6.</w:t>
      </w:r>
    </w:p>
    <w:p w:rsidR="001D5981" w:rsidRPr="00D61417" w:rsidRDefault="001D5981" w:rsidP="0090111E">
      <w:pPr>
        <w:pStyle w:val="Akapitzlist"/>
        <w:numPr>
          <w:ilvl w:val="0"/>
          <w:numId w:val="15"/>
        </w:numPr>
        <w:autoSpaceDE w:val="0"/>
        <w:autoSpaceDN w:val="0"/>
        <w:adjustRightInd w:val="0"/>
        <w:spacing w:after="0" w:line="240" w:lineRule="auto"/>
        <w:ind w:left="284" w:hanging="284"/>
        <w:jc w:val="both"/>
        <w:rPr>
          <w:rFonts w:cs="Arial"/>
        </w:rPr>
      </w:pPr>
      <w:r w:rsidRPr="00D61417">
        <w:rPr>
          <w:rFonts w:cs="Arial"/>
        </w:rPr>
        <w:t>Wydatki poniesione na wycenę wkładu niepieniężnego są kwalifikowalne.</w:t>
      </w:r>
    </w:p>
    <w:p w:rsidR="001D5981" w:rsidRPr="00D61417" w:rsidRDefault="001D5981" w:rsidP="0090111E">
      <w:pPr>
        <w:pStyle w:val="Akapitzlist"/>
        <w:numPr>
          <w:ilvl w:val="0"/>
          <w:numId w:val="15"/>
        </w:numPr>
        <w:autoSpaceDE w:val="0"/>
        <w:autoSpaceDN w:val="0"/>
        <w:adjustRightInd w:val="0"/>
        <w:spacing w:after="0" w:line="240" w:lineRule="auto"/>
        <w:ind w:left="284" w:hanging="284"/>
        <w:jc w:val="both"/>
        <w:rPr>
          <w:rFonts w:cs="Arial"/>
        </w:rPr>
      </w:pPr>
      <w:r w:rsidRPr="00D61417">
        <w:rPr>
          <w:rFonts w:cs="Arial"/>
        </w:rPr>
        <w:t>W przypadku wniesienia wkładu niepieniężnego w postaci nieruchomości, zastosowanie ma</w:t>
      </w:r>
      <w:r w:rsidR="00305941" w:rsidRPr="00D61417">
        <w:rPr>
          <w:rFonts w:cs="Arial"/>
        </w:rPr>
        <w:t xml:space="preserve">ją zapisy </w:t>
      </w:r>
      <w:r w:rsidR="00263BA0" w:rsidRPr="00D61417">
        <w:rPr>
          <w:rFonts w:cs="Arial"/>
        </w:rPr>
        <w:t>Podrozdziału 7.4 „Wytycznych</w:t>
      </w:r>
      <w:r w:rsidR="00D61417">
        <w:rPr>
          <w:rStyle w:val="Odwoanieprzypisudolnego"/>
          <w:rFonts w:cs="Arial"/>
        </w:rPr>
        <w:footnoteReference w:id="11"/>
      </w:r>
      <w:r w:rsidR="00263BA0" w:rsidRPr="00D61417">
        <w:rPr>
          <w:rFonts w:cs="Arial"/>
        </w:rPr>
        <w:t xml:space="preserve"> ” </w:t>
      </w:r>
      <w:r w:rsidR="00305941" w:rsidRPr="00D61417">
        <w:rPr>
          <w:rFonts w:cs="Arial"/>
        </w:rPr>
        <w:t>odnoszące się do zakupu nieruchomości</w:t>
      </w:r>
      <w:r w:rsidR="004E6179" w:rsidRPr="00D61417">
        <w:rPr>
          <w:rFonts w:cs="Arial"/>
        </w:rPr>
        <w:t xml:space="preserve"> w zakresie między innymi:</w:t>
      </w:r>
    </w:p>
    <w:p w:rsidR="004E6179" w:rsidRPr="00D61417" w:rsidRDefault="004E6179" w:rsidP="0090111E">
      <w:pPr>
        <w:pStyle w:val="Akapitzlist"/>
        <w:numPr>
          <w:ilvl w:val="0"/>
          <w:numId w:val="36"/>
        </w:numPr>
        <w:autoSpaceDE w:val="0"/>
        <w:autoSpaceDN w:val="0"/>
        <w:adjustRightInd w:val="0"/>
        <w:spacing w:after="0" w:line="240" w:lineRule="auto"/>
        <w:ind w:left="567" w:hanging="283"/>
        <w:jc w:val="both"/>
        <w:rPr>
          <w:rFonts w:cs="Arial"/>
        </w:rPr>
      </w:pPr>
      <w:r w:rsidRPr="00D61417">
        <w:rPr>
          <w:rFonts w:cs="Arial"/>
        </w:rPr>
        <w:t>limitów kwalifikowania wydatku;</w:t>
      </w:r>
    </w:p>
    <w:p w:rsidR="004E6179" w:rsidRDefault="004E6179" w:rsidP="0090111E">
      <w:pPr>
        <w:pStyle w:val="Akapitzlist"/>
        <w:numPr>
          <w:ilvl w:val="0"/>
          <w:numId w:val="36"/>
        </w:numPr>
        <w:autoSpaceDE w:val="0"/>
        <w:autoSpaceDN w:val="0"/>
        <w:adjustRightInd w:val="0"/>
        <w:spacing w:after="0" w:line="240" w:lineRule="auto"/>
        <w:ind w:left="567" w:hanging="283"/>
        <w:jc w:val="both"/>
        <w:rPr>
          <w:rFonts w:cs="Arial"/>
        </w:rPr>
      </w:pPr>
      <w:r w:rsidRPr="00D61417">
        <w:rPr>
          <w:rFonts w:cs="Arial"/>
        </w:rPr>
        <w:t>określania wartości rynkowej nieruchomości;</w:t>
      </w:r>
    </w:p>
    <w:p w:rsidR="008234A6" w:rsidRPr="00D61417" w:rsidRDefault="008234A6" w:rsidP="0090111E">
      <w:pPr>
        <w:pStyle w:val="Akapitzlist"/>
        <w:autoSpaceDE w:val="0"/>
        <w:autoSpaceDN w:val="0"/>
        <w:adjustRightInd w:val="0"/>
        <w:spacing w:after="0" w:line="240" w:lineRule="auto"/>
        <w:ind w:left="567"/>
        <w:jc w:val="both"/>
        <w:rPr>
          <w:rFonts w:cs="Arial"/>
        </w:rPr>
      </w:pPr>
    </w:p>
    <w:p w:rsidR="001D5981" w:rsidRPr="00665F25" w:rsidRDefault="001D5981" w:rsidP="0090111E">
      <w:pPr>
        <w:pStyle w:val="Akapitzlist"/>
        <w:numPr>
          <w:ilvl w:val="0"/>
          <w:numId w:val="15"/>
        </w:numPr>
        <w:autoSpaceDE w:val="0"/>
        <w:autoSpaceDN w:val="0"/>
        <w:adjustRightInd w:val="0"/>
        <w:spacing w:after="0" w:line="240" w:lineRule="auto"/>
        <w:ind w:left="284" w:hanging="284"/>
        <w:jc w:val="both"/>
        <w:rPr>
          <w:rFonts w:cs="Arial"/>
        </w:rPr>
      </w:pPr>
      <w:r w:rsidRPr="00665F25">
        <w:rPr>
          <w:rFonts w:cs="Arial"/>
        </w:rPr>
        <w:t>W przypadku nieodpłatnej pracy wykonywanej przez wolontariuszy, powinny zostać</w:t>
      </w:r>
      <w:r w:rsidR="00C72FB8">
        <w:rPr>
          <w:rFonts w:cs="Arial"/>
        </w:rPr>
        <w:t xml:space="preserve"> </w:t>
      </w:r>
      <w:r w:rsidRPr="00665F25">
        <w:rPr>
          <w:rFonts w:cs="Arial"/>
        </w:rPr>
        <w:t>spełnione łącznie następujące warunki</w:t>
      </w:r>
      <w:r w:rsidR="008234A6">
        <w:rPr>
          <w:rStyle w:val="Odwoanieprzypisudolnego"/>
          <w:rFonts w:cs="Arial"/>
        </w:rPr>
        <w:footnoteReference w:id="12"/>
      </w:r>
      <w:r w:rsidRPr="00665F25">
        <w:rPr>
          <w:rFonts w:cs="Arial"/>
        </w:rPr>
        <w:t>:</w:t>
      </w:r>
    </w:p>
    <w:p w:rsidR="001D5981" w:rsidRPr="00665F25" w:rsidRDefault="001D5981" w:rsidP="0090111E">
      <w:pPr>
        <w:pStyle w:val="Akapitzlist"/>
        <w:numPr>
          <w:ilvl w:val="0"/>
          <w:numId w:val="17"/>
        </w:numPr>
        <w:autoSpaceDE w:val="0"/>
        <w:autoSpaceDN w:val="0"/>
        <w:adjustRightInd w:val="0"/>
        <w:spacing w:after="0" w:line="240" w:lineRule="auto"/>
        <w:ind w:left="567" w:hanging="283"/>
        <w:jc w:val="both"/>
        <w:rPr>
          <w:rFonts w:cs="Arial"/>
        </w:rPr>
      </w:pPr>
      <w:r w:rsidRPr="00665F25">
        <w:rPr>
          <w:rFonts w:cs="Arial"/>
        </w:rPr>
        <w:t>wolontariusz musi być świadomy charakteru swojego udziału w realizacji projektu(tzn. świadomy nieodpłatnego udziału),</w:t>
      </w:r>
    </w:p>
    <w:p w:rsidR="001D5981" w:rsidRPr="00665F25" w:rsidRDefault="001D5981" w:rsidP="0090111E">
      <w:pPr>
        <w:pStyle w:val="Akapitzlist"/>
        <w:numPr>
          <w:ilvl w:val="0"/>
          <w:numId w:val="17"/>
        </w:numPr>
        <w:autoSpaceDE w:val="0"/>
        <w:autoSpaceDN w:val="0"/>
        <w:adjustRightInd w:val="0"/>
        <w:spacing w:after="0" w:line="240" w:lineRule="auto"/>
        <w:ind w:left="567" w:hanging="283"/>
        <w:jc w:val="both"/>
        <w:rPr>
          <w:rFonts w:cs="Arial"/>
        </w:rPr>
      </w:pPr>
      <w:r w:rsidRPr="00665F25">
        <w:rPr>
          <w:rFonts w:cs="Arial"/>
        </w:rPr>
        <w:t>należy zdefiniować rodzaj wykonywanej przez wolontariusza nieodpłatnej pracy(określić jego stanowisko w projekcie); zadania wykonywane i wykazywane przez</w:t>
      </w:r>
      <w:r w:rsidR="00C72FB8">
        <w:rPr>
          <w:rFonts w:cs="Arial"/>
        </w:rPr>
        <w:t xml:space="preserve"> </w:t>
      </w:r>
      <w:r w:rsidRPr="00665F25">
        <w:rPr>
          <w:rFonts w:cs="Arial"/>
        </w:rPr>
        <w:t>wolontariusza muszą być zgodne z tytułem jego nieodpłatnej pracy (stanowiska),</w:t>
      </w:r>
    </w:p>
    <w:p w:rsidR="001D5981" w:rsidRPr="00665F25" w:rsidRDefault="001D5981" w:rsidP="0090111E">
      <w:pPr>
        <w:pStyle w:val="Akapitzlist"/>
        <w:numPr>
          <w:ilvl w:val="0"/>
          <w:numId w:val="17"/>
        </w:numPr>
        <w:autoSpaceDE w:val="0"/>
        <w:autoSpaceDN w:val="0"/>
        <w:adjustRightInd w:val="0"/>
        <w:spacing w:after="0" w:line="240" w:lineRule="auto"/>
        <w:ind w:left="567" w:hanging="283"/>
        <w:jc w:val="both"/>
        <w:rPr>
          <w:rFonts w:cs="Arial"/>
        </w:rPr>
      </w:pPr>
      <w:r w:rsidRPr="00665F25">
        <w:rPr>
          <w:rFonts w:cs="Arial"/>
        </w:rPr>
        <w:t>w ramach wolontariatu nie może być wykonywana nieodpłatna praca dotycząca</w:t>
      </w:r>
      <w:r w:rsidR="00C72FB8">
        <w:rPr>
          <w:rFonts w:cs="Arial"/>
        </w:rPr>
        <w:t xml:space="preserve"> </w:t>
      </w:r>
      <w:r w:rsidRPr="00665F25">
        <w:rPr>
          <w:rFonts w:cs="Arial"/>
        </w:rPr>
        <w:t>zadań, które są realizowane przez personel projektu dofinansowany w ramach</w:t>
      </w:r>
      <w:r w:rsidR="00C72FB8">
        <w:rPr>
          <w:rFonts w:cs="Arial"/>
        </w:rPr>
        <w:t xml:space="preserve"> </w:t>
      </w:r>
      <w:r w:rsidRPr="00665F25">
        <w:rPr>
          <w:rFonts w:cs="Arial"/>
        </w:rPr>
        <w:t>projektu,</w:t>
      </w:r>
    </w:p>
    <w:p w:rsidR="001D5981" w:rsidRPr="00665F25" w:rsidRDefault="001D5981" w:rsidP="0090111E">
      <w:pPr>
        <w:pStyle w:val="Akapitzlist"/>
        <w:numPr>
          <w:ilvl w:val="0"/>
          <w:numId w:val="17"/>
        </w:numPr>
        <w:autoSpaceDE w:val="0"/>
        <w:autoSpaceDN w:val="0"/>
        <w:adjustRightInd w:val="0"/>
        <w:spacing w:after="0" w:line="240" w:lineRule="auto"/>
        <w:ind w:left="567" w:hanging="283"/>
        <w:jc w:val="both"/>
        <w:rPr>
          <w:rFonts w:cs="Arial"/>
        </w:rPr>
      </w:pPr>
      <w:r w:rsidRPr="00665F25">
        <w:rPr>
          <w:rFonts w:cs="Arial"/>
        </w:rPr>
        <w:t>wartość wkładu niepieniężnego w przypadku nieodpłatnej pracy wykonywanej przez</w:t>
      </w:r>
      <w:r w:rsidR="00C72FB8">
        <w:rPr>
          <w:rFonts w:cs="Arial"/>
        </w:rPr>
        <w:t xml:space="preserve"> </w:t>
      </w:r>
      <w:r w:rsidRPr="00665F25">
        <w:rPr>
          <w:rFonts w:cs="Arial"/>
        </w:rPr>
        <w:t>wolontariusza określa się z uwzględnieniem ilości czasu poświęconego na jej</w:t>
      </w:r>
      <w:r w:rsidR="00C72FB8">
        <w:rPr>
          <w:rFonts w:cs="Arial"/>
        </w:rPr>
        <w:t xml:space="preserve"> </w:t>
      </w:r>
      <w:r w:rsidRPr="00665F25">
        <w:rPr>
          <w:rFonts w:cs="Arial"/>
        </w:rPr>
        <w:t>wykonanie oraz średniej wysokości wynagrodzenia (wg stawki godzinowej</w:t>
      </w:r>
      <w:r w:rsidR="00C72FB8">
        <w:rPr>
          <w:rFonts w:cs="Arial"/>
        </w:rPr>
        <w:t xml:space="preserve"> </w:t>
      </w:r>
      <w:r w:rsidRPr="00665F25">
        <w:rPr>
          <w:rFonts w:cs="Arial"/>
        </w:rPr>
        <w:t>lub dziennej) za dany rodzaj pracy obowiązującej u danego pracodawcy lub w danym</w:t>
      </w:r>
      <w:r w:rsidR="00C72FB8">
        <w:rPr>
          <w:rFonts w:cs="Arial"/>
        </w:rPr>
        <w:t xml:space="preserve"> </w:t>
      </w:r>
      <w:r w:rsidRPr="00665F25">
        <w:rPr>
          <w:rFonts w:cs="Arial"/>
        </w:rPr>
        <w:t>regionie (wyliczonej np. w oparciu o dane GUS), lub płacy minimalnej określonej</w:t>
      </w:r>
      <w:r w:rsidR="00C72FB8">
        <w:rPr>
          <w:rFonts w:cs="Arial"/>
        </w:rPr>
        <w:t xml:space="preserve"> </w:t>
      </w:r>
      <w:r w:rsidRPr="00665F25">
        <w:rPr>
          <w:rFonts w:cs="Arial"/>
        </w:rPr>
        <w:t>na podstawie obowiązujących przepisów, w zależności od zapisów wniosku</w:t>
      </w:r>
      <w:r w:rsidR="00C72FB8">
        <w:rPr>
          <w:rFonts w:cs="Arial"/>
        </w:rPr>
        <w:t xml:space="preserve"> </w:t>
      </w:r>
      <w:r w:rsidRPr="00665F25">
        <w:rPr>
          <w:rFonts w:cs="Arial"/>
        </w:rPr>
        <w:t>o dofinansowanie projektu,</w:t>
      </w:r>
    </w:p>
    <w:p w:rsidR="001D5981" w:rsidRPr="00665F25" w:rsidRDefault="001D5981" w:rsidP="0090111E">
      <w:pPr>
        <w:pStyle w:val="Akapitzlist"/>
        <w:numPr>
          <w:ilvl w:val="0"/>
          <w:numId w:val="17"/>
        </w:numPr>
        <w:autoSpaceDE w:val="0"/>
        <w:autoSpaceDN w:val="0"/>
        <w:adjustRightInd w:val="0"/>
        <w:spacing w:after="0" w:line="240" w:lineRule="auto"/>
        <w:ind w:left="567" w:hanging="283"/>
        <w:jc w:val="both"/>
        <w:rPr>
          <w:rFonts w:cs="Arial"/>
        </w:rPr>
      </w:pPr>
      <w:r w:rsidRPr="00665F25">
        <w:rPr>
          <w:rFonts w:cs="Arial"/>
        </w:rPr>
        <w:t>wycena nieodpłatnej dobrowolnej pracy może uwzględniać wszystkie koszty, które</w:t>
      </w:r>
      <w:r w:rsidR="00C72FB8">
        <w:rPr>
          <w:rFonts w:cs="Arial"/>
        </w:rPr>
        <w:t xml:space="preserve"> </w:t>
      </w:r>
      <w:r w:rsidRPr="00665F25">
        <w:rPr>
          <w:rFonts w:cs="Arial"/>
        </w:rPr>
        <w:t>zostałyby poniesione w przypadku jej odpłatnego wykonywania przez podmiot</w:t>
      </w:r>
      <w:r w:rsidR="00C72FB8">
        <w:rPr>
          <w:rFonts w:cs="Arial"/>
        </w:rPr>
        <w:t xml:space="preserve"> </w:t>
      </w:r>
      <w:r w:rsidRPr="00665F25">
        <w:rPr>
          <w:rFonts w:cs="Arial"/>
        </w:rPr>
        <w:t>działający na zasadach rynkowych; wycena uwzględnia zatem koszt składek</w:t>
      </w:r>
      <w:r w:rsidR="00C72FB8">
        <w:rPr>
          <w:rFonts w:cs="Arial"/>
        </w:rPr>
        <w:t xml:space="preserve"> </w:t>
      </w:r>
      <w:r w:rsidRPr="00665F25">
        <w:rPr>
          <w:rFonts w:cs="Arial"/>
        </w:rPr>
        <w:t>na ubezpieczenia społeczne oraz wszystkie pozostałe koszty wynikające z charakter</w:t>
      </w:r>
      <w:r w:rsidR="00C72FB8">
        <w:rPr>
          <w:rFonts w:cs="Arial"/>
        </w:rPr>
        <w:t xml:space="preserve"> </w:t>
      </w:r>
      <w:r w:rsidRPr="00665F25">
        <w:rPr>
          <w:rFonts w:cs="Arial"/>
        </w:rPr>
        <w:t>udanego świadczenia; wycena wykonywanego świ</w:t>
      </w:r>
      <w:r w:rsidR="003953C5" w:rsidRPr="00665F25">
        <w:rPr>
          <w:rFonts w:cs="Arial"/>
        </w:rPr>
        <w:t>adczenia przez wolontariusza moż</w:t>
      </w:r>
      <w:r w:rsidRPr="00665F25">
        <w:rPr>
          <w:rFonts w:cs="Arial"/>
        </w:rPr>
        <w:t>e</w:t>
      </w:r>
      <w:r w:rsidR="00C72FB8">
        <w:rPr>
          <w:rFonts w:cs="Arial"/>
        </w:rPr>
        <w:t xml:space="preserve"> </w:t>
      </w:r>
      <w:r w:rsidRPr="00665F25">
        <w:rPr>
          <w:rFonts w:cs="Arial"/>
        </w:rPr>
        <w:t>być przedmiotem odrębnej kontroli i oceny.</w:t>
      </w:r>
    </w:p>
    <w:p w:rsidR="001D5981" w:rsidRPr="00665F25" w:rsidRDefault="001D5981" w:rsidP="0090111E">
      <w:pPr>
        <w:pStyle w:val="Akapitzlist"/>
        <w:numPr>
          <w:ilvl w:val="0"/>
          <w:numId w:val="15"/>
        </w:numPr>
        <w:autoSpaceDE w:val="0"/>
        <w:autoSpaceDN w:val="0"/>
        <w:adjustRightInd w:val="0"/>
        <w:spacing w:after="0" w:line="240" w:lineRule="auto"/>
        <w:ind w:left="284" w:hanging="284"/>
        <w:jc w:val="both"/>
        <w:rPr>
          <w:rFonts w:cs="Arial"/>
        </w:rPr>
      </w:pPr>
      <w:r w:rsidRPr="00665F25">
        <w:rPr>
          <w:rFonts w:cs="Arial"/>
        </w:rPr>
        <w:t>W przypa</w:t>
      </w:r>
      <w:r w:rsidR="003953C5" w:rsidRPr="00665F25">
        <w:rPr>
          <w:rFonts w:cs="Arial"/>
        </w:rPr>
        <w:t>dku wniesienia wkładu niepienięż</w:t>
      </w:r>
      <w:r w:rsidRPr="00665F25">
        <w:rPr>
          <w:rFonts w:cs="Arial"/>
        </w:rPr>
        <w:t>nego do projektu, współfinansowanie</w:t>
      </w:r>
      <w:r w:rsidR="00C72FB8">
        <w:rPr>
          <w:rFonts w:cs="Arial"/>
        </w:rPr>
        <w:t xml:space="preserve"> </w:t>
      </w:r>
      <w:r w:rsidRPr="00665F25">
        <w:rPr>
          <w:rFonts w:cs="Arial"/>
        </w:rPr>
        <w:t>z funduszy strukturalnych lub FS oraz innych środków publicznych (krajowych) niebędących wkład</w:t>
      </w:r>
      <w:r w:rsidR="003953C5" w:rsidRPr="00665F25">
        <w:rPr>
          <w:rFonts w:cs="Arial"/>
        </w:rPr>
        <w:t>em własnym beneficjenta, nie moż</w:t>
      </w:r>
      <w:r w:rsidRPr="00665F25">
        <w:rPr>
          <w:rFonts w:cs="Arial"/>
        </w:rPr>
        <w:t>e przekroczyć wartości całkowitych</w:t>
      </w:r>
      <w:r w:rsidR="00C72FB8">
        <w:rPr>
          <w:rFonts w:cs="Arial"/>
        </w:rPr>
        <w:t xml:space="preserve"> </w:t>
      </w:r>
      <w:r w:rsidRPr="00665F25">
        <w:rPr>
          <w:rFonts w:cs="Arial"/>
        </w:rPr>
        <w:t>wydatków kwalifikowalnych pomniejszo</w:t>
      </w:r>
      <w:r w:rsidR="003953C5" w:rsidRPr="00665F25">
        <w:rPr>
          <w:rFonts w:cs="Arial"/>
        </w:rPr>
        <w:t>nych o wartość wkładu niepienięż</w:t>
      </w:r>
      <w:r w:rsidRPr="00665F25">
        <w:rPr>
          <w:rFonts w:cs="Arial"/>
        </w:rPr>
        <w:t>nego.</w:t>
      </w:r>
    </w:p>
    <w:p w:rsidR="001D5981" w:rsidRDefault="001D5981" w:rsidP="0090111E">
      <w:pPr>
        <w:autoSpaceDE w:val="0"/>
        <w:autoSpaceDN w:val="0"/>
        <w:adjustRightInd w:val="0"/>
        <w:spacing w:after="0" w:line="240" w:lineRule="auto"/>
        <w:jc w:val="both"/>
        <w:rPr>
          <w:rFonts w:cs="Arial"/>
          <w:b/>
          <w:bCs/>
        </w:rPr>
      </w:pPr>
    </w:p>
    <w:p w:rsidR="00424D27" w:rsidRDefault="00424D27" w:rsidP="0090111E">
      <w:pPr>
        <w:autoSpaceDE w:val="0"/>
        <w:autoSpaceDN w:val="0"/>
        <w:adjustRightInd w:val="0"/>
        <w:spacing w:after="0" w:line="240" w:lineRule="auto"/>
        <w:jc w:val="both"/>
        <w:rPr>
          <w:rFonts w:cs="Arial"/>
          <w:b/>
          <w:bCs/>
        </w:rPr>
      </w:pPr>
    </w:p>
    <w:p w:rsidR="00424D27" w:rsidRDefault="00424D27" w:rsidP="0090111E">
      <w:pPr>
        <w:autoSpaceDE w:val="0"/>
        <w:autoSpaceDN w:val="0"/>
        <w:adjustRightInd w:val="0"/>
        <w:spacing w:after="0" w:line="240" w:lineRule="auto"/>
        <w:jc w:val="both"/>
        <w:rPr>
          <w:rFonts w:cs="Arial"/>
          <w:b/>
          <w:bC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26"/>
        <w:gridCol w:w="2509"/>
        <w:gridCol w:w="426"/>
        <w:gridCol w:w="1559"/>
      </w:tblGrid>
      <w:tr w:rsidR="003953C5" w:rsidTr="003953C5">
        <w:trPr>
          <w:jc w:val="center"/>
        </w:trPr>
        <w:tc>
          <w:tcPr>
            <w:tcW w:w="3397" w:type="dxa"/>
            <w:vAlign w:val="center"/>
          </w:tcPr>
          <w:p w:rsidR="003953C5" w:rsidRDefault="003953C5" w:rsidP="0090111E">
            <w:pPr>
              <w:autoSpaceDE w:val="0"/>
              <w:autoSpaceDN w:val="0"/>
              <w:adjustRightInd w:val="0"/>
              <w:jc w:val="both"/>
              <w:rPr>
                <w:rFonts w:cs="Arial"/>
                <w:b/>
                <w:bCs/>
              </w:rPr>
            </w:pPr>
            <w:r w:rsidRPr="00F04CB0">
              <w:rPr>
                <w:rFonts w:cs="Arial"/>
                <w:b/>
                <w:bCs/>
              </w:rPr>
              <w:t>Kwota dofinansowania dla projektu</w:t>
            </w:r>
            <w:r w:rsidR="00C72FB8">
              <w:rPr>
                <w:rFonts w:cs="Arial"/>
                <w:b/>
                <w:bCs/>
              </w:rPr>
              <w:t xml:space="preserve"> </w:t>
            </w:r>
            <w:r w:rsidRPr="00F04CB0">
              <w:rPr>
                <w:rFonts w:cs="Arial"/>
                <w:b/>
                <w:bCs/>
              </w:rPr>
              <w:t xml:space="preserve">z funduszy oraz innych </w:t>
            </w:r>
            <w:r w:rsidRPr="003953C5">
              <w:rPr>
                <w:rFonts w:cs="Arial"/>
                <w:b/>
              </w:rPr>
              <w:t>ś</w:t>
            </w:r>
            <w:r w:rsidRPr="00F04CB0">
              <w:rPr>
                <w:rFonts w:cs="Arial"/>
                <w:b/>
                <w:bCs/>
              </w:rPr>
              <w:t>rodków</w:t>
            </w:r>
            <w:r w:rsidR="00C72FB8">
              <w:rPr>
                <w:rFonts w:cs="Arial"/>
                <w:b/>
                <w:bCs/>
              </w:rPr>
              <w:t xml:space="preserve"> </w:t>
            </w:r>
            <w:r w:rsidRPr="00F04CB0">
              <w:rPr>
                <w:rFonts w:cs="Arial"/>
                <w:b/>
                <w:bCs/>
              </w:rPr>
              <w:t>publicznych (krajowych)</w:t>
            </w:r>
          </w:p>
        </w:tc>
        <w:tc>
          <w:tcPr>
            <w:tcW w:w="326" w:type="dxa"/>
            <w:vAlign w:val="center"/>
          </w:tcPr>
          <w:p w:rsidR="003953C5" w:rsidRDefault="003953C5" w:rsidP="0090111E">
            <w:pPr>
              <w:autoSpaceDE w:val="0"/>
              <w:autoSpaceDN w:val="0"/>
              <w:adjustRightInd w:val="0"/>
              <w:jc w:val="both"/>
              <w:rPr>
                <w:rFonts w:cs="Arial"/>
                <w:b/>
              </w:rPr>
            </w:pPr>
          </w:p>
          <w:p w:rsidR="003953C5" w:rsidRPr="003953C5" w:rsidRDefault="003953C5" w:rsidP="0090111E">
            <w:pPr>
              <w:autoSpaceDE w:val="0"/>
              <w:autoSpaceDN w:val="0"/>
              <w:adjustRightInd w:val="0"/>
              <w:jc w:val="both"/>
              <w:rPr>
                <w:rFonts w:cs="Arial"/>
                <w:b/>
              </w:rPr>
            </w:pPr>
            <w:r w:rsidRPr="003953C5">
              <w:rPr>
                <w:rFonts w:cs="Arial"/>
                <w:b/>
              </w:rPr>
              <w:t>≤</w:t>
            </w:r>
          </w:p>
          <w:p w:rsidR="003953C5" w:rsidRPr="003953C5" w:rsidRDefault="003953C5" w:rsidP="0090111E">
            <w:pPr>
              <w:autoSpaceDE w:val="0"/>
              <w:autoSpaceDN w:val="0"/>
              <w:adjustRightInd w:val="0"/>
              <w:jc w:val="both"/>
              <w:rPr>
                <w:rFonts w:cs="Arial"/>
                <w:b/>
                <w:bCs/>
              </w:rPr>
            </w:pPr>
          </w:p>
        </w:tc>
        <w:tc>
          <w:tcPr>
            <w:tcW w:w="2509" w:type="dxa"/>
            <w:vAlign w:val="center"/>
          </w:tcPr>
          <w:p w:rsidR="003953C5" w:rsidRPr="00F04CB0" w:rsidRDefault="003953C5" w:rsidP="0090111E">
            <w:pPr>
              <w:autoSpaceDE w:val="0"/>
              <w:autoSpaceDN w:val="0"/>
              <w:adjustRightInd w:val="0"/>
              <w:jc w:val="both"/>
              <w:rPr>
                <w:rFonts w:cs="Arial"/>
                <w:b/>
                <w:bCs/>
              </w:rPr>
            </w:pPr>
            <w:r w:rsidRPr="00F04CB0">
              <w:rPr>
                <w:rFonts w:cs="Arial"/>
                <w:b/>
                <w:bCs/>
              </w:rPr>
              <w:t>rzeczywiste całkowite</w:t>
            </w:r>
          </w:p>
          <w:p w:rsidR="003953C5" w:rsidRDefault="003953C5" w:rsidP="0090111E">
            <w:pPr>
              <w:autoSpaceDE w:val="0"/>
              <w:autoSpaceDN w:val="0"/>
              <w:adjustRightInd w:val="0"/>
              <w:jc w:val="both"/>
              <w:rPr>
                <w:rFonts w:cs="Arial"/>
                <w:b/>
                <w:bCs/>
              </w:rPr>
            </w:pPr>
            <w:r w:rsidRPr="00F04CB0">
              <w:rPr>
                <w:rFonts w:cs="Arial"/>
                <w:b/>
                <w:bCs/>
              </w:rPr>
              <w:t>wydatki kwalifikowalne</w:t>
            </w:r>
          </w:p>
        </w:tc>
        <w:tc>
          <w:tcPr>
            <w:tcW w:w="426" w:type="dxa"/>
            <w:vAlign w:val="center"/>
          </w:tcPr>
          <w:p w:rsidR="003953C5" w:rsidRDefault="003953C5" w:rsidP="0090111E">
            <w:pPr>
              <w:autoSpaceDE w:val="0"/>
              <w:autoSpaceDN w:val="0"/>
              <w:adjustRightInd w:val="0"/>
              <w:jc w:val="both"/>
              <w:rPr>
                <w:rFonts w:cs="Arial"/>
                <w:b/>
                <w:bCs/>
              </w:rPr>
            </w:pPr>
          </w:p>
          <w:p w:rsidR="003953C5" w:rsidRPr="00F04CB0" w:rsidRDefault="003953C5" w:rsidP="0090111E">
            <w:pPr>
              <w:autoSpaceDE w:val="0"/>
              <w:autoSpaceDN w:val="0"/>
              <w:adjustRightInd w:val="0"/>
              <w:jc w:val="both"/>
              <w:rPr>
                <w:rFonts w:cs="Arial"/>
                <w:b/>
                <w:bCs/>
              </w:rPr>
            </w:pPr>
            <w:r w:rsidRPr="00F04CB0">
              <w:rPr>
                <w:rFonts w:cs="Arial"/>
                <w:b/>
                <w:bCs/>
              </w:rPr>
              <w:t>–</w:t>
            </w:r>
          </w:p>
          <w:p w:rsidR="003953C5" w:rsidRDefault="003953C5" w:rsidP="0090111E">
            <w:pPr>
              <w:autoSpaceDE w:val="0"/>
              <w:autoSpaceDN w:val="0"/>
              <w:adjustRightInd w:val="0"/>
              <w:jc w:val="both"/>
              <w:rPr>
                <w:rFonts w:cs="Arial"/>
                <w:b/>
                <w:bCs/>
              </w:rPr>
            </w:pPr>
          </w:p>
        </w:tc>
        <w:tc>
          <w:tcPr>
            <w:tcW w:w="1559" w:type="dxa"/>
            <w:vAlign w:val="center"/>
          </w:tcPr>
          <w:p w:rsidR="003953C5" w:rsidRPr="003953C5" w:rsidRDefault="003953C5" w:rsidP="0090111E">
            <w:pPr>
              <w:autoSpaceDE w:val="0"/>
              <w:autoSpaceDN w:val="0"/>
              <w:adjustRightInd w:val="0"/>
              <w:jc w:val="both"/>
              <w:rPr>
                <w:rFonts w:cs="Arial"/>
                <w:b/>
                <w:bCs/>
              </w:rPr>
            </w:pPr>
            <w:r w:rsidRPr="003953C5">
              <w:rPr>
                <w:rFonts w:cs="Arial"/>
                <w:b/>
                <w:bCs/>
              </w:rPr>
              <w:t>wkład</w:t>
            </w:r>
          </w:p>
          <w:p w:rsidR="003953C5" w:rsidRPr="003953C5" w:rsidRDefault="003953C5" w:rsidP="0090111E">
            <w:pPr>
              <w:jc w:val="both"/>
              <w:rPr>
                <w:rFonts w:cs="Arial"/>
                <w:b/>
                <w:bCs/>
              </w:rPr>
            </w:pPr>
            <w:r w:rsidRPr="003953C5">
              <w:rPr>
                <w:rFonts w:cs="Arial"/>
                <w:b/>
                <w:bCs/>
              </w:rPr>
              <w:t>niepieni</w:t>
            </w:r>
            <w:r w:rsidRPr="003953C5">
              <w:rPr>
                <w:rFonts w:cs="Arial"/>
                <w:b/>
              </w:rPr>
              <w:t>ęż</w:t>
            </w:r>
            <w:r w:rsidRPr="003953C5">
              <w:rPr>
                <w:rFonts w:cs="Arial"/>
                <w:b/>
                <w:bCs/>
              </w:rPr>
              <w:t>ny</w:t>
            </w:r>
          </w:p>
        </w:tc>
      </w:tr>
    </w:tbl>
    <w:p w:rsidR="007071F1" w:rsidRPr="00F04CB0" w:rsidRDefault="007071F1" w:rsidP="0090111E">
      <w:pPr>
        <w:spacing w:line="240" w:lineRule="auto"/>
        <w:jc w:val="both"/>
      </w:pPr>
    </w:p>
    <w:sectPr w:rsidR="007071F1" w:rsidRPr="00F04CB0" w:rsidSect="008234A6">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0C" w:rsidRDefault="001D350C" w:rsidP="001D5981">
      <w:pPr>
        <w:spacing w:after="0" w:line="240" w:lineRule="auto"/>
      </w:pPr>
      <w:r>
        <w:separator/>
      </w:r>
    </w:p>
  </w:endnote>
  <w:endnote w:type="continuationSeparator" w:id="0">
    <w:p w:rsidR="001D350C" w:rsidRDefault="001D350C" w:rsidP="001D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roman"/>
    <w:pitch w:val="default"/>
    <w:sig w:usb0="00000001" w:usb1="00000000" w:usb2="00000000" w:usb3="00000000" w:csb0="00000003" w:csb1="00000000"/>
  </w:font>
  <w:font w:name="EUAlbertina-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031639"/>
      <w:docPartObj>
        <w:docPartGallery w:val="Page Numbers (Bottom of Page)"/>
        <w:docPartUnique/>
      </w:docPartObj>
    </w:sdtPr>
    <w:sdtEndPr/>
    <w:sdtContent>
      <w:p w:rsidR="00424D27" w:rsidRDefault="00424D27">
        <w:pPr>
          <w:pStyle w:val="Stopka"/>
          <w:jc w:val="center"/>
        </w:pPr>
        <w:r>
          <w:fldChar w:fldCharType="begin"/>
        </w:r>
        <w:r>
          <w:instrText>PAGE   \* MERGEFORMAT</w:instrText>
        </w:r>
        <w:r>
          <w:fldChar w:fldCharType="separate"/>
        </w:r>
        <w:r w:rsidR="00CE2C9D">
          <w:rPr>
            <w:noProof/>
          </w:rPr>
          <w:t>1</w:t>
        </w:r>
        <w:r>
          <w:fldChar w:fldCharType="end"/>
        </w:r>
      </w:p>
    </w:sdtContent>
  </w:sdt>
  <w:p w:rsidR="00424D27" w:rsidRDefault="00424D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0C" w:rsidRDefault="001D350C" w:rsidP="001D5981">
      <w:pPr>
        <w:spacing w:after="0" w:line="240" w:lineRule="auto"/>
      </w:pPr>
      <w:r>
        <w:separator/>
      </w:r>
    </w:p>
  </w:footnote>
  <w:footnote w:type="continuationSeparator" w:id="0">
    <w:p w:rsidR="001D350C" w:rsidRDefault="001D350C" w:rsidP="001D5981">
      <w:pPr>
        <w:spacing w:after="0" w:line="240" w:lineRule="auto"/>
      </w:pPr>
      <w:r>
        <w:continuationSeparator/>
      </w:r>
    </w:p>
  </w:footnote>
  <w:footnote w:id="1">
    <w:p w:rsidR="000B2CA3" w:rsidRDefault="000B2CA3" w:rsidP="004B3CAE">
      <w:pPr>
        <w:pStyle w:val="Tekstprzypisudolnego"/>
        <w:jc w:val="both"/>
      </w:pPr>
      <w:r>
        <w:rPr>
          <w:rStyle w:val="Odwoanieprzypisudolnego"/>
        </w:rPr>
        <w:footnoteRef/>
      </w:r>
      <w:r w:rsidRPr="00523415">
        <w:rPr>
          <w:sz w:val="16"/>
          <w:szCs w:val="16"/>
        </w:rPr>
        <w:t xml:space="preserve">Kwalifikowalnymi  </w:t>
      </w:r>
      <w:r w:rsidRPr="00A16F00">
        <w:rPr>
          <w:sz w:val="16"/>
          <w:szCs w:val="16"/>
        </w:rPr>
        <w:t>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footnote>
  <w:footnote w:id="2">
    <w:p w:rsidR="007A4D3D" w:rsidRDefault="007A4D3D" w:rsidP="0046628B">
      <w:pPr>
        <w:pStyle w:val="Tekstprzypisudolnego"/>
        <w:jc w:val="both"/>
      </w:pPr>
      <w:r>
        <w:rPr>
          <w:rStyle w:val="Odwoanieprzypisudolnego"/>
        </w:rPr>
        <w:footnoteRef/>
      </w:r>
      <w:r>
        <w:t xml:space="preserve"> W przypadku, gdy osoba stanowiąca personel projektu jest pracownikiem beneficjenta jej zaangażowanie do projektu może mieć miejsce wyłącznie na podstaw</w:t>
      </w:r>
      <w:r w:rsidR="00B86483">
        <w:t xml:space="preserve">ie stosunku pracy lub na podstawie umowy o dzieło. </w:t>
      </w:r>
    </w:p>
  </w:footnote>
  <w:footnote w:id="3">
    <w:p w:rsidR="007A4D3D" w:rsidRDefault="007A4D3D" w:rsidP="0046628B">
      <w:pPr>
        <w:pStyle w:val="Tekstprzypisudolnego"/>
        <w:jc w:val="both"/>
      </w:pPr>
      <w:r>
        <w:rPr>
          <w:rStyle w:val="Odwoanieprzypisudolnego"/>
        </w:rPr>
        <w:footnoteRef/>
      </w:r>
      <w:r>
        <w:t xml:space="preserve"> Oddelegowanie należy rozumieć jako zmianą obowiązków służbowych pracownika na okres zaangażowania w realizację projektu.</w:t>
      </w:r>
    </w:p>
  </w:footnote>
  <w:footnote w:id="4">
    <w:p w:rsidR="00527217" w:rsidRPr="004B3CAE" w:rsidRDefault="00527217" w:rsidP="0046628B">
      <w:pPr>
        <w:pStyle w:val="Tekstprzypisudolnego"/>
        <w:jc w:val="both"/>
      </w:pPr>
      <w:r w:rsidRPr="004B3CAE">
        <w:rPr>
          <w:rStyle w:val="Odwoanieprzypisudolnego"/>
        </w:rPr>
        <w:footnoteRef/>
      </w:r>
      <w:r w:rsidRPr="004B3CAE">
        <w:t xml:space="preserve"> Zgodnie  z </w:t>
      </w:r>
      <w:r w:rsidR="0046628B" w:rsidRPr="004B3CAE">
        <w:rPr>
          <w:rFonts w:ascii="Calibri" w:hAnsi="Calibri" w:cs="Calibri"/>
        </w:rPr>
        <w:t xml:space="preserve">z zapisami ustawy z dnia 29 stycznia 2004 r. Prawo zamówień publicznych (tekst jedn. Dz. U. z 2013 r., poz. 907 z późn. zm.) lub zgodnie </w:t>
      </w:r>
      <w:r w:rsidR="001C528A" w:rsidRPr="004B3CAE">
        <w:rPr>
          <w:rFonts w:ascii="Calibri" w:hAnsi="Calibri" w:cs="Calibri"/>
        </w:rPr>
        <w:t>z z</w:t>
      </w:r>
      <w:r w:rsidR="001C528A" w:rsidRPr="004B3CAE">
        <w:rPr>
          <w:rFonts w:ascii="Calibri" w:hAnsi="Calibri"/>
        </w:rPr>
        <w:t xml:space="preserve">ał. nr … do regulaminu konkursu </w:t>
      </w:r>
      <w:r w:rsidR="00805146" w:rsidRPr="004B3CAE">
        <w:rPr>
          <w:rFonts w:ascii="Calibri" w:hAnsi="Calibri"/>
        </w:rPr>
        <w:t>„Zasady obowiązujące podczas dokonywania  zamówień przy realizacji dostaw, usług i robót budowlanych w ramach Projektu”.</w:t>
      </w:r>
    </w:p>
  </w:footnote>
  <w:footnote w:id="5">
    <w:p w:rsidR="00285D5D" w:rsidRDefault="00285D5D">
      <w:pPr>
        <w:pStyle w:val="Tekstprzypisudolnego"/>
      </w:pPr>
      <w:r w:rsidRPr="003511C4">
        <w:rPr>
          <w:rStyle w:val="Odwoanieprzypisudolnego"/>
        </w:rPr>
        <w:footnoteRef/>
      </w:r>
      <w:r w:rsidRPr="003511C4">
        <w:t xml:space="preserve"> Zgodnie  z </w:t>
      </w:r>
      <w:r w:rsidRPr="003511C4">
        <w:rPr>
          <w:rFonts w:ascii="Calibri" w:hAnsi="Calibri" w:cs="Calibri"/>
        </w:rPr>
        <w:t>zapisami ustawy z dnia 29 stycznia 2004 r. Prawo zamówień publicznych (tekst jedn. Dz. U. z 2013 r., poz. 907 z późn. zm.) lub zgodnie z z</w:t>
      </w:r>
      <w:r w:rsidRPr="003511C4">
        <w:rPr>
          <w:rFonts w:ascii="Calibri" w:hAnsi="Calibri"/>
        </w:rPr>
        <w:t xml:space="preserve">ał. nr </w:t>
      </w:r>
      <w:r w:rsidR="007600DE">
        <w:rPr>
          <w:rFonts w:ascii="Calibri" w:hAnsi="Calibri"/>
        </w:rPr>
        <w:t>10</w:t>
      </w:r>
      <w:r w:rsidRPr="003511C4">
        <w:rPr>
          <w:rFonts w:ascii="Calibri" w:hAnsi="Calibri"/>
        </w:rPr>
        <w:t xml:space="preserve"> do regulaminu konkursu </w:t>
      </w:r>
      <w:r w:rsidR="00805146">
        <w:rPr>
          <w:rFonts w:ascii="Calibri" w:hAnsi="Calibri"/>
        </w:rPr>
        <w:t>„</w:t>
      </w:r>
      <w:r w:rsidR="00805146" w:rsidRPr="00843CCE">
        <w:rPr>
          <w:rFonts w:ascii="Calibri" w:hAnsi="Calibri"/>
        </w:rPr>
        <w:t>Zasady obowiązujące podczas dokonywania  zamówień przy realizacji dostaw, usług i robót budowlanych w ramach Projektu</w:t>
      </w:r>
      <w:r w:rsidR="00805146">
        <w:rPr>
          <w:rFonts w:ascii="Calibri" w:hAnsi="Calibri"/>
        </w:rPr>
        <w:t>”</w:t>
      </w:r>
    </w:p>
  </w:footnote>
  <w:footnote w:id="6">
    <w:p w:rsidR="00BE7A1F" w:rsidRDefault="00BE7A1F" w:rsidP="00BE7A1F">
      <w:pPr>
        <w:pStyle w:val="Tekstprzypisudolnego"/>
        <w:jc w:val="both"/>
      </w:pPr>
      <w:r>
        <w:rPr>
          <w:rStyle w:val="Odwoanieprzypisudolnego"/>
        </w:rPr>
        <w:footnoteRef/>
      </w:r>
      <w:r w:rsidRPr="00BD3A80">
        <w:rPr>
          <w:rFonts w:ascii="Calibri" w:hAnsi="Calibri"/>
        </w:rPr>
        <w:t>Wytyczn</w:t>
      </w:r>
      <w:r>
        <w:rPr>
          <w:rFonts w:ascii="Calibri" w:hAnsi="Calibri"/>
        </w:rPr>
        <w:t>e</w:t>
      </w:r>
      <w:r w:rsidRPr="00BD3A80">
        <w:rPr>
          <w:rFonts w:ascii="Calibri" w:hAnsi="Calibri"/>
        </w:rPr>
        <w:t xml:space="preserve"> w zakresie kwalifikowalności wydatków w ramach Europejskiego Funduszu Rozwoju Regionalnego, Europejskiego Funduszu Społecznego oraz Funduszu Spójności na lata 2014-2020 z dnia 10 kwietnia 2015r.</w:t>
      </w:r>
    </w:p>
  </w:footnote>
  <w:footnote w:id="7">
    <w:p w:rsidR="00BE7A1F" w:rsidRDefault="00BE7A1F">
      <w:pPr>
        <w:pStyle w:val="Tekstprzypisudolnego"/>
      </w:pPr>
      <w:r>
        <w:rPr>
          <w:rStyle w:val="Odwoanieprzypisudolnego"/>
        </w:rPr>
        <w:footnoteRef/>
      </w:r>
      <w:r>
        <w:t>J.w.</w:t>
      </w:r>
    </w:p>
  </w:footnote>
  <w:footnote w:id="8">
    <w:p w:rsidR="00BE7A1F" w:rsidRDefault="00BE7A1F">
      <w:pPr>
        <w:pStyle w:val="Tekstprzypisudolnego"/>
      </w:pPr>
      <w:r>
        <w:rPr>
          <w:rStyle w:val="Odwoanieprzypisudolnego"/>
        </w:rPr>
        <w:footnoteRef/>
      </w:r>
      <w:r>
        <w:t>J.w.</w:t>
      </w:r>
    </w:p>
  </w:footnote>
  <w:footnote w:id="9">
    <w:p w:rsidR="001D5981" w:rsidRPr="004B3CAE" w:rsidRDefault="001D5981" w:rsidP="00D61417">
      <w:pPr>
        <w:autoSpaceDE w:val="0"/>
        <w:autoSpaceDN w:val="0"/>
        <w:adjustRightInd w:val="0"/>
        <w:spacing w:after="0" w:line="240" w:lineRule="auto"/>
        <w:jc w:val="both"/>
        <w:rPr>
          <w:sz w:val="20"/>
          <w:szCs w:val="20"/>
        </w:rPr>
      </w:pPr>
      <w:r w:rsidRPr="004B3CAE">
        <w:rPr>
          <w:rStyle w:val="Odwoanieprzypisudolnego"/>
          <w:sz w:val="20"/>
          <w:szCs w:val="20"/>
        </w:rPr>
        <w:footnoteRef/>
      </w:r>
      <w:r w:rsidRPr="004B3CAE">
        <w:rPr>
          <w:rFonts w:cs="Arial"/>
          <w:sz w:val="20"/>
          <w:szCs w:val="20"/>
        </w:rPr>
        <w:t>Wkładem własnym nie zawsze jest cała nieruchomość; mogą być to np. sale, których wartość wycenia się jako koszt eksploatacji/utrzymania danego metrażu (stawkę może określać np. taryfikator danej instytucji).</w:t>
      </w:r>
    </w:p>
  </w:footnote>
  <w:footnote w:id="10">
    <w:p w:rsidR="001D5981" w:rsidRPr="00D61417" w:rsidRDefault="001D5981" w:rsidP="00D61417">
      <w:pPr>
        <w:spacing w:after="0" w:line="240" w:lineRule="auto"/>
        <w:jc w:val="both"/>
        <w:rPr>
          <w:rFonts w:cs="Arial"/>
          <w:sz w:val="16"/>
          <w:szCs w:val="16"/>
        </w:rPr>
      </w:pPr>
      <w:r w:rsidRPr="004B3CAE">
        <w:rPr>
          <w:rStyle w:val="Odwoanieprzypisudolnego"/>
          <w:sz w:val="20"/>
          <w:szCs w:val="20"/>
        </w:rPr>
        <w:footnoteRef/>
      </w:r>
      <w:r w:rsidRPr="004B3CAE">
        <w:rPr>
          <w:rFonts w:cs="Arial"/>
          <w:sz w:val="20"/>
          <w:szCs w:val="20"/>
        </w:rPr>
        <w:t>Termin ważności sporządzonego dokumentu określa ustawa z dnia 21 sierpnia 1997 r. o gospodarce nieruchomościami.</w:t>
      </w:r>
    </w:p>
  </w:footnote>
  <w:footnote w:id="11">
    <w:p w:rsidR="00D61417" w:rsidRPr="004B3CAE" w:rsidRDefault="00D61417" w:rsidP="00D61417">
      <w:pPr>
        <w:pStyle w:val="Tekstprzypisudolnego"/>
      </w:pPr>
      <w:r w:rsidRPr="004B3CAE">
        <w:rPr>
          <w:rStyle w:val="Odwoanieprzypisudolnego"/>
        </w:rPr>
        <w:footnoteRef/>
      </w:r>
      <w:r w:rsidRPr="004B3CAE">
        <w:rPr>
          <w:rFonts w:ascii="Calibri" w:hAnsi="Calibri"/>
        </w:rPr>
        <w:t>Wytyczne w zakresie kwalifikowalności wydatków w ramach Europejskiego Funduszu Rozwoju Regionalnego, Europejskiego Funduszu Społecznego oraz Funduszu Spójności na lata 2014-2020 z dnia 10 kwietnia 2015r.,</w:t>
      </w:r>
    </w:p>
  </w:footnote>
  <w:footnote w:id="12">
    <w:p w:rsidR="008234A6" w:rsidRPr="008234A6" w:rsidRDefault="008234A6">
      <w:pPr>
        <w:pStyle w:val="Tekstprzypisudolnego"/>
        <w:rPr>
          <w:sz w:val="16"/>
          <w:szCs w:val="16"/>
        </w:rPr>
      </w:pPr>
      <w:r w:rsidRPr="004B3CAE">
        <w:rPr>
          <w:rStyle w:val="Odwoanieprzypisudolnego"/>
        </w:rPr>
        <w:footnoteRef/>
      </w:r>
      <w:r w:rsidRPr="004B3CAE">
        <w:t xml:space="preserve"> Dotyczy tylko organizacji pozarządowych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645"/>
    <w:multiLevelType w:val="hybridMultilevel"/>
    <w:tmpl w:val="44A28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349D8"/>
    <w:multiLevelType w:val="hybridMultilevel"/>
    <w:tmpl w:val="DDBAA94A"/>
    <w:lvl w:ilvl="0" w:tplc="7EE0C728">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99004C"/>
    <w:multiLevelType w:val="hybridMultilevel"/>
    <w:tmpl w:val="223E1E2E"/>
    <w:lvl w:ilvl="0" w:tplc="04150001">
      <w:start w:val="1"/>
      <w:numFmt w:val="bullet"/>
      <w:lvlText w:val=""/>
      <w:lvlJc w:val="left"/>
      <w:pPr>
        <w:ind w:left="852" w:hanging="360"/>
      </w:pPr>
      <w:rPr>
        <w:rFonts w:ascii="Symbol" w:hAnsi="Symbol"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3" w15:restartNumberingAfterBreak="0">
    <w:nsid w:val="0D372B2B"/>
    <w:multiLevelType w:val="hybridMultilevel"/>
    <w:tmpl w:val="8990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121A1"/>
    <w:multiLevelType w:val="hybridMultilevel"/>
    <w:tmpl w:val="95186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CF7663"/>
    <w:multiLevelType w:val="hybridMultilevel"/>
    <w:tmpl w:val="0980E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7C748F"/>
    <w:multiLevelType w:val="hybridMultilevel"/>
    <w:tmpl w:val="AF9EDE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51C9B"/>
    <w:multiLevelType w:val="hybridMultilevel"/>
    <w:tmpl w:val="26E6A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D1C60"/>
    <w:multiLevelType w:val="hybridMultilevel"/>
    <w:tmpl w:val="68502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64990"/>
    <w:multiLevelType w:val="hybridMultilevel"/>
    <w:tmpl w:val="9DF400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6171E2"/>
    <w:multiLevelType w:val="hybridMultilevel"/>
    <w:tmpl w:val="6EEA9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173CC3"/>
    <w:multiLevelType w:val="hybridMultilevel"/>
    <w:tmpl w:val="68EEE7DE"/>
    <w:lvl w:ilvl="0" w:tplc="CDBE6DD0">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87F64"/>
    <w:multiLevelType w:val="hybridMultilevel"/>
    <w:tmpl w:val="E48E9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F53ABB"/>
    <w:multiLevelType w:val="hybridMultilevel"/>
    <w:tmpl w:val="895AAE6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80B3AF0"/>
    <w:multiLevelType w:val="hybridMultilevel"/>
    <w:tmpl w:val="21A664AC"/>
    <w:lvl w:ilvl="0" w:tplc="98580CF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6A266F"/>
    <w:multiLevelType w:val="hybridMultilevel"/>
    <w:tmpl w:val="5B0AE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B96BCC"/>
    <w:multiLevelType w:val="hybridMultilevel"/>
    <w:tmpl w:val="C62C1534"/>
    <w:lvl w:ilvl="0" w:tplc="0ACEE6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D2A38C4"/>
    <w:multiLevelType w:val="hybridMultilevel"/>
    <w:tmpl w:val="0AA476BC"/>
    <w:lvl w:ilvl="0" w:tplc="97F29D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5B7684"/>
    <w:multiLevelType w:val="hybridMultilevel"/>
    <w:tmpl w:val="FC76E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403738"/>
    <w:multiLevelType w:val="hybridMultilevel"/>
    <w:tmpl w:val="1E96C7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9E06935"/>
    <w:multiLevelType w:val="hybridMultilevel"/>
    <w:tmpl w:val="11B824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744CA5"/>
    <w:multiLevelType w:val="hybridMultilevel"/>
    <w:tmpl w:val="310CE7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8E45B5"/>
    <w:multiLevelType w:val="hybridMultilevel"/>
    <w:tmpl w:val="056AF95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6A4254E"/>
    <w:multiLevelType w:val="hybridMultilevel"/>
    <w:tmpl w:val="91D62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E03732A"/>
    <w:multiLevelType w:val="hybridMultilevel"/>
    <w:tmpl w:val="E0F24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046370"/>
    <w:multiLevelType w:val="hybridMultilevel"/>
    <w:tmpl w:val="C8B6A79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A6058F"/>
    <w:multiLevelType w:val="hybridMultilevel"/>
    <w:tmpl w:val="E654B6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32E2DC7"/>
    <w:multiLevelType w:val="hybridMultilevel"/>
    <w:tmpl w:val="450C5B52"/>
    <w:lvl w:ilvl="0" w:tplc="C0367152">
      <w:start w:val="1"/>
      <w:numFmt w:val="decimal"/>
      <w:lvlText w:val="%1."/>
      <w:lvlJc w:val="left"/>
      <w:pPr>
        <w:ind w:left="644" w:hanging="360"/>
      </w:pPr>
      <w:rPr>
        <w:rFonts w:asciiTheme="minorHAnsi" w:eastAsiaTheme="minorHAnsi" w:hAnsiTheme="minorHAns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4FD0B94"/>
    <w:multiLevelType w:val="hybridMultilevel"/>
    <w:tmpl w:val="68EEE7DE"/>
    <w:lvl w:ilvl="0" w:tplc="CDBE6DD0">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AB25D8"/>
    <w:multiLevelType w:val="hybridMultilevel"/>
    <w:tmpl w:val="251C0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FB28F4"/>
    <w:multiLevelType w:val="hybridMultilevel"/>
    <w:tmpl w:val="C4BCFE5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74FA5969"/>
    <w:multiLevelType w:val="hybridMultilevel"/>
    <w:tmpl w:val="D7C2E7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8D21E9"/>
    <w:multiLevelType w:val="hybridMultilevel"/>
    <w:tmpl w:val="563005E8"/>
    <w:lvl w:ilvl="0" w:tplc="C436F1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AA312EC"/>
    <w:multiLevelType w:val="hybridMultilevel"/>
    <w:tmpl w:val="2D7A0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0C1A14"/>
    <w:multiLevelType w:val="hybridMultilevel"/>
    <w:tmpl w:val="47C26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5"/>
  </w:num>
  <w:num w:numId="3">
    <w:abstractNumId w:val="11"/>
  </w:num>
  <w:num w:numId="4">
    <w:abstractNumId w:val="26"/>
  </w:num>
  <w:num w:numId="5">
    <w:abstractNumId w:val="15"/>
  </w:num>
  <w:num w:numId="6">
    <w:abstractNumId w:val="0"/>
  </w:num>
  <w:num w:numId="7">
    <w:abstractNumId w:val="19"/>
  </w:num>
  <w:num w:numId="8">
    <w:abstractNumId w:val="4"/>
  </w:num>
  <w:num w:numId="9">
    <w:abstractNumId w:val="24"/>
  </w:num>
  <w:num w:numId="10">
    <w:abstractNumId w:val="27"/>
  </w:num>
  <w:num w:numId="11">
    <w:abstractNumId w:val="31"/>
  </w:num>
  <w:num w:numId="12">
    <w:abstractNumId w:val="2"/>
  </w:num>
  <w:num w:numId="13">
    <w:abstractNumId w:val="34"/>
  </w:num>
  <w:num w:numId="14">
    <w:abstractNumId w:val="6"/>
  </w:num>
  <w:num w:numId="15">
    <w:abstractNumId w:val="10"/>
  </w:num>
  <w:num w:numId="16">
    <w:abstractNumId w:val="35"/>
  </w:num>
  <w:num w:numId="17">
    <w:abstractNumId w:val="22"/>
  </w:num>
  <w:num w:numId="18">
    <w:abstractNumId w:val="8"/>
  </w:num>
  <w:num w:numId="19">
    <w:abstractNumId w:val="17"/>
  </w:num>
  <w:num w:numId="20">
    <w:abstractNumId w:val="14"/>
  </w:num>
  <w:num w:numId="21">
    <w:abstractNumId w:val="16"/>
  </w:num>
  <w:num w:numId="22">
    <w:abstractNumId w:val="18"/>
  </w:num>
  <w:num w:numId="23">
    <w:abstractNumId w:val="21"/>
  </w:num>
  <w:num w:numId="24">
    <w:abstractNumId w:val="7"/>
  </w:num>
  <w:num w:numId="25">
    <w:abstractNumId w:val="5"/>
  </w:num>
  <w:num w:numId="26">
    <w:abstractNumId w:val="12"/>
  </w:num>
  <w:num w:numId="27">
    <w:abstractNumId w:val="28"/>
  </w:num>
  <w:num w:numId="28">
    <w:abstractNumId w:val="29"/>
  </w:num>
  <w:num w:numId="29">
    <w:abstractNumId w:val="1"/>
  </w:num>
  <w:num w:numId="30">
    <w:abstractNumId w:val="33"/>
  </w:num>
  <w:num w:numId="31">
    <w:abstractNumId w:val="20"/>
  </w:num>
  <w:num w:numId="32">
    <w:abstractNumId w:val="9"/>
  </w:num>
  <w:num w:numId="33">
    <w:abstractNumId w:val="13"/>
  </w:num>
  <w:num w:numId="34">
    <w:abstractNumId w:val="3"/>
  </w:num>
  <w:num w:numId="35">
    <w:abstractNumId w:val="3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01C4"/>
    <w:rsid w:val="00027A10"/>
    <w:rsid w:val="000425CA"/>
    <w:rsid w:val="00042D68"/>
    <w:rsid w:val="00042E3B"/>
    <w:rsid w:val="00046D5D"/>
    <w:rsid w:val="000B2CA3"/>
    <w:rsid w:val="000D2912"/>
    <w:rsid w:val="000D318A"/>
    <w:rsid w:val="000E6ED5"/>
    <w:rsid w:val="00123987"/>
    <w:rsid w:val="00133D80"/>
    <w:rsid w:val="00143514"/>
    <w:rsid w:val="001879CF"/>
    <w:rsid w:val="001930C8"/>
    <w:rsid w:val="001A666B"/>
    <w:rsid w:val="001B300E"/>
    <w:rsid w:val="001C3484"/>
    <w:rsid w:val="001C528A"/>
    <w:rsid w:val="001C734F"/>
    <w:rsid w:val="001D30C6"/>
    <w:rsid w:val="001D350C"/>
    <w:rsid w:val="001D5981"/>
    <w:rsid w:val="001E1DD3"/>
    <w:rsid w:val="00223B92"/>
    <w:rsid w:val="002332F0"/>
    <w:rsid w:val="00263BA0"/>
    <w:rsid w:val="002858F9"/>
    <w:rsid w:val="00285D5D"/>
    <w:rsid w:val="00287411"/>
    <w:rsid w:val="002A5B4B"/>
    <w:rsid w:val="002B114E"/>
    <w:rsid w:val="002E7A34"/>
    <w:rsid w:val="002F5183"/>
    <w:rsid w:val="00305941"/>
    <w:rsid w:val="003258B6"/>
    <w:rsid w:val="00343C71"/>
    <w:rsid w:val="003511C4"/>
    <w:rsid w:val="00352C08"/>
    <w:rsid w:val="00362102"/>
    <w:rsid w:val="003953C5"/>
    <w:rsid w:val="003C28E5"/>
    <w:rsid w:val="00424D27"/>
    <w:rsid w:val="0046628B"/>
    <w:rsid w:val="004B11F3"/>
    <w:rsid w:val="004B2AE8"/>
    <w:rsid w:val="004B3CAE"/>
    <w:rsid w:val="004B4B07"/>
    <w:rsid w:val="004D60F8"/>
    <w:rsid w:val="004E6179"/>
    <w:rsid w:val="00520122"/>
    <w:rsid w:val="00527217"/>
    <w:rsid w:val="0054104F"/>
    <w:rsid w:val="00547F1D"/>
    <w:rsid w:val="005F692F"/>
    <w:rsid w:val="005F7D26"/>
    <w:rsid w:val="006279A9"/>
    <w:rsid w:val="00665F25"/>
    <w:rsid w:val="00677F4C"/>
    <w:rsid w:val="00694F9E"/>
    <w:rsid w:val="00695FFA"/>
    <w:rsid w:val="006A68EE"/>
    <w:rsid w:val="006B0A7B"/>
    <w:rsid w:val="006C3AB9"/>
    <w:rsid w:val="006C45D1"/>
    <w:rsid w:val="006D16A5"/>
    <w:rsid w:val="006F47DB"/>
    <w:rsid w:val="007071F1"/>
    <w:rsid w:val="007600DE"/>
    <w:rsid w:val="00791D45"/>
    <w:rsid w:val="007A4D3D"/>
    <w:rsid w:val="007E5712"/>
    <w:rsid w:val="00805146"/>
    <w:rsid w:val="00815531"/>
    <w:rsid w:val="008234A6"/>
    <w:rsid w:val="00827088"/>
    <w:rsid w:val="008A2E16"/>
    <w:rsid w:val="008C172B"/>
    <w:rsid w:val="008E24F6"/>
    <w:rsid w:val="0090111E"/>
    <w:rsid w:val="009164E2"/>
    <w:rsid w:val="0093426C"/>
    <w:rsid w:val="009364F9"/>
    <w:rsid w:val="009608DE"/>
    <w:rsid w:val="009B620D"/>
    <w:rsid w:val="009E14AE"/>
    <w:rsid w:val="009E29AD"/>
    <w:rsid w:val="00A0771E"/>
    <w:rsid w:val="00A71456"/>
    <w:rsid w:val="00AA10F0"/>
    <w:rsid w:val="00AC3C28"/>
    <w:rsid w:val="00AC586C"/>
    <w:rsid w:val="00AD6C0A"/>
    <w:rsid w:val="00AF5E31"/>
    <w:rsid w:val="00B13268"/>
    <w:rsid w:val="00B36B23"/>
    <w:rsid w:val="00B47C34"/>
    <w:rsid w:val="00B86483"/>
    <w:rsid w:val="00B94855"/>
    <w:rsid w:val="00BC21FC"/>
    <w:rsid w:val="00BD01C4"/>
    <w:rsid w:val="00BD3A80"/>
    <w:rsid w:val="00BE312D"/>
    <w:rsid w:val="00BE7A1F"/>
    <w:rsid w:val="00C01F5C"/>
    <w:rsid w:val="00C0207C"/>
    <w:rsid w:val="00C04F55"/>
    <w:rsid w:val="00C05C8B"/>
    <w:rsid w:val="00C11A46"/>
    <w:rsid w:val="00C5264C"/>
    <w:rsid w:val="00C72FB8"/>
    <w:rsid w:val="00CA0BAE"/>
    <w:rsid w:val="00CB4EC8"/>
    <w:rsid w:val="00CD77AD"/>
    <w:rsid w:val="00CE2C9D"/>
    <w:rsid w:val="00CE4DB3"/>
    <w:rsid w:val="00CE6F59"/>
    <w:rsid w:val="00D505B2"/>
    <w:rsid w:val="00D52D3E"/>
    <w:rsid w:val="00D61417"/>
    <w:rsid w:val="00DA67CD"/>
    <w:rsid w:val="00DD1947"/>
    <w:rsid w:val="00DD64CE"/>
    <w:rsid w:val="00DE479D"/>
    <w:rsid w:val="00E24815"/>
    <w:rsid w:val="00E262ED"/>
    <w:rsid w:val="00E26D82"/>
    <w:rsid w:val="00E33DB9"/>
    <w:rsid w:val="00E61A09"/>
    <w:rsid w:val="00E8644C"/>
    <w:rsid w:val="00E9633E"/>
    <w:rsid w:val="00EA23EA"/>
    <w:rsid w:val="00EC50A3"/>
    <w:rsid w:val="00EC744B"/>
    <w:rsid w:val="00ED4C78"/>
    <w:rsid w:val="00EF5DB6"/>
    <w:rsid w:val="00F04CB0"/>
    <w:rsid w:val="00F549AE"/>
    <w:rsid w:val="00F701F1"/>
    <w:rsid w:val="00F91345"/>
    <w:rsid w:val="00FD408A"/>
    <w:rsid w:val="00FF5F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30C8A-A5D2-4A00-B21C-7D3CA1F4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5D1"/>
  </w:style>
  <w:style w:type="paragraph" w:styleId="Nagwek3">
    <w:name w:val="heading 3"/>
    <w:basedOn w:val="Normalny"/>
    <w:next w:val="Normalny"/>
    <w:link w:val="Nagwek3Znak"/>
    <w:uiPriority w:val="9"/>
    <w:unhideWhenUsed/>
    <w:qFormat/>
    <w:rsid w:val="007071F1"/>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071F1"/>
    <w:pPr>
      <w:spacing w:after="200" w:line="276" w:lineRule="auto"/>
      <w:ind w:left="720"/>
      <w:contextualSpacing/>
    </w:pPr>
  </w:style>
  <w:style w:type="character" w:customStyle="1" w:styleId="AkapitzlistZnak">
    <w:name w:val="Akapit z listą Znak"/>
    <w:link w:val="Akapitzlist"/>
    <w:uiPriority w:val="34"/>
    <w:rsid w:val="007071F1"/>
  </w:style>
  <w:style w:type="character" w:customStyle="1" w:styleId="Nagwek3Znak">
    <w:name w:val="Nagłówek 3 Znak"/>
    <w:basedOn w:val="Domylnaczcionkaakapitu"/>
    <w:link w:val="Nagwek3"/>
    <w:uiPriority w:val="9"/>
    <w:rsid w:val="007071F1"/>
    <w:rPr>
      <w:rFonts w:asciiTheme="majorHAnsi" w:eastAsiaTheme="majorEastAsia" w:hAnsiTheme="majorHAnsi" w:cstheme="majorBidi"/>
      <w:color w:val="1F4D78" w:themeColor="accent1" w:themeShade="7F"/>
      <w:sz w:val="24"/>
      <w:szCs w:val="24"/>
      <w:lang w:eastAsia="pl-PL"/>
    </w:rPr>
  </w:style>
  <w:style w:type="paragraph" w:customStyle="1" w:styleId="Default">
    <w:name w:val="Default"/>
    <w:rsid w:val="006C3AB9"/>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unhideWhenUsed/>
    <w:rsid w:val="001D5981"/>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1D5981"/>
    <w:rPr>
      <w:sz w:val="20"/>
      <w:szCs w:val="20"/>
    </w:rPr>
  </w:style>
  <w:style w:type="character" w:styleId="Odwoanieprzypisudolnego">
    <w:name w:val="footnote reference"/>
    <w:aliases w:val="Footnote Reference Number"/>
    <w:basedOn w:val="Domylnaczcionkaakapitu"/>
    <w:semiHidden/>
    <w:unhideWhenUsed/>
    <w:rsid w:val="001D5981"/>
    <w:rPr>
      <w:vertAlign w:val="superscript"/>
    </w:rPr>
  </w:style>
  <w:style w:type="character" w:styleId="Odwoaniedokomentarza">
    <w:name w:val="annotation reference"/>
    <w:basedOn w:val="Domylnaczcionkaakapitu"/>
    <w:uiPriority w:val="99"/>
    <w:semiHidden/>
    <w:unhideWhenUsed/>
    <w:rsid w:val="006A68EE"/>
    <w:rPr>
      <w:sz w:val="16"/>
      <w:szCs w:val="16"/>
    </w:rPr>
  </w:style>
  <w:style w:type="paragraph" w:styleId="Tekstkomentarza">
    <w:name w:val="annotation text"/>
    <w:basedOn w:val="Normalny"/>
    <w:link w:val="TekstkomentarzaZnak"/>
    <w:uiPriority w:val="99"/>
    <w:semiHidden/>
    <w:unhideWhenUsed/>
    <w:rsid w:val="006A68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68EE"/>
    <w:rPr>
      <w:sz w:val="20"/>
      <w:szCs w:val="20"/>
    </w:rPr>
  </w:style>
  <w:style w:type="paragraph" w:styleId="Tematkomentarza">
    <w:name w:val="annotation subject"/>
    <w:basedOn w:val="Tekstkomentarza"/>
    <w:next w:val="Tekstkomentarza"/>
    <w:link w:val="TematkomentarzaZnak"/>
    <w:uiPriority w:val="99"/>
    <w:semiHidden/>
    <w:unhideWhenUsed/>
    <w:rsid w:val="006A68EE"/>
    <w:rPr>
      <w:b/>
      <w:bCs/>
    </w:rPr>
  </w:style>
  <w:style w:type="character" w:customStyle="1" w:styleId="TematkomentarzaZnak">
    <w:name w:val="Temat komentarza Znak"/>
    <w:basedOn w:val="TekstkomentarzaZnak"/>
    <w:link w:val="Tematkomentarza"/>
    <w:uiPriority w:val="99"/>
    <w:semiHidden/>
    <w:rsid w:val="006A68EE"/>
    <w:rPr>
      <w:b/>
      <w:bCs/>
      <w:sz w:val="20"/>
      <w:szCs w:val="20"/>
    </w:rPr>
  </w:style>
  <w:style w:type="paragraph" w:styleId="Tekstdymka">
    <w:name w:val="Balloon Text"/>
    <w:basedOn w:val="Normalny"/>
    <w:link w:val="TekstdymkaZnak"/>
    <w:uiPriority w:val="99"/>
    <w:semiHidden/>
    <w:unhideWhenUsed/>
    <w:rsid w:val="006A68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68EE"/>
    <w:rPr>
      <w:rFonts w:ascii="Segoe UI" w:hAnsi="Segoe UI" w:cs="Segoe UI"/>
      <w:sz w:val="18"/>
      <w:szCs w:val="18"/>
    </w:rPr>
  </w:style>
  <w:style w:type="paragraph" w:styleId="Tekstpodstawowy3">
    <w:name w:val="Body Text 3"/>
    <w:basedOn w:val="Normalny"/>
    <w:link w:val="Tekstpodstawowy3Znak"/>
    <w:uiPriority w:val="99"/>
    <w:rsid w:val="00F701F1"/>
    <w:pPr>
      <w:spacing w:after="0" w:line="240" w:lineRule="auto"/>
      <w:jc w:val="both"/>
    </w:pPr>
    <w:rPr>
      <w:rFonts w:ascii="Arial" w:eastAsia="Times New Roman" w:hAnsi="Arial" w:cs="Arial"/>
      <w:sz w:val="24"/>
      <w:szCs w:val="24"/>
      <w:lang w:eastAsia="pl-PL"/>
    </w:rPr>
  </w:style>
  <w:style w:type="character" w:customStyle="1" w:styleId="Tekstpodstawowy3Znak">
    <w:name w:val="Tekst podstawowy 3 Znak"/>
    <w:basedOn w:val="Domylnaczcionkaakapitu"/>
    <w:link w:val="Tekstpodstawowy3"/>
    <w:uiPriority w:val="99"/>
    <w:rsid w:val="00F701F1"/>
    <w:rPr>
      <w:rFonts w:ascii="Arial" w:eastAsia="Times New Roman" w:hAnsi="Arial" w:cs="Arial"/>
      <w:sz w:val="24"/>
      <w:szCs w:val="24"/>
      <w:lang w:eastAsia="pl-PL"/>
    </w:rPr>
  </w:style>
  <w:style w:type="table" w:styleId="Tabela-Siatka">
    <w:name w:val="Table Grid"/>
    <w:basedOn w:val="Standardowy"/>
    <w:uiPriority w:val="39"/>
    <w:rsid w:val="0039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8C172B"/>
    <w:pPr>
      <w:widowControl w:val="0"/>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8C172B"/>
    <w:rPr>
      <w:rFonts w:ascii="Courier New" w:eastAsia="Times New Roman" w:hAnsi="Courier New" w:cs="Times New Roman"/>
      <w:sz w:val="20"/>
      <w:szCs w:val="20"/>
      <w:lang w:eastAsia="pl-PL"/>
    </w:rPr>
  </w:style>
  <w:style w:type="paragraph" w:customStyle="1" w:styleId="CM1">
    <w:name w:val="CM1"/>
    <w:basedOn w:val="Default"/>
    <w:next w:val="Default"/>
    <w:uiPriority w:val="99"/>
    <w:rsid w:val="001A666B"/>
    <w:rPr>
      <w:rFonts w:ascii="EUAlbertina" w:hAnsi="EUAlbertina" w:cstheme="minorBidi"/>
      <w:color w:val="auto"/>
    </w:rPr>
  </w:style>
  <w:style w:type="paragraph" w:customStyle="1" w:styleId="CM3">
    <w:name w:val="CM3"/>
    <w:basedOn w:val="Default"/>
    <w:next w:val="Default"/>
    <w:uiPriority w:val="99"/>
    <w:rsid w:val="001A666B"/>
    <w:rPr>
      <w:rFonts w:ascii="EUAlbertina" w:hAnsi="EUAlbertina" w:cstheme="minorBidi"/>
      <w:color w:val="auto"/>
    </w:rPr>
  </w:style>
  <w:style w:type="character" w:customStyle="1" w:styleId="txt-new">
    <w:name w:val="txt-new"/>
    <w:basedOn w:val="Domylnaczcionkaakapitu"/>
    <w:rsid w:val="006F47DB"/>
  </w:style>
  <w:style w:type="character" w:customStyle="1" w:styleId="luchili">
    <w:name w:val="luc_hili"/>
    <w:basedOn w:val="Domylnaczcionkaakapitu"/>
    <w:rsid w:val="006F47DB"/>
  </w:style>
  <w:style w:type="paragraph" w:styleId="Nagwek">
    <w:name w:val="header"/>
    <w:basedOn w:val="Normalny"/>
    <w:link w:val="NagwekZnak"/>
    <w:uiPriority w:val="99"/>
    <w:unhideWhenUsed/>
    <w:rsid w:val="00D614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417"/>
  </w:style>
  <w:style w:type="paragraph" w:styleId="Stopka">
    <w:name w:val="footer"/>
    <w:basedOn w:val="Normalny"/>
    <w:link w:val="StopkaZnak"/>
    <w:uiPriority w:val="99"/>
    <w:unhideWhenUsed/>
    <w:rsid w:val="00D614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07F4-E35A-485A-B21E-D904F545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3546</Words>
  <Characters>21279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Barnak</dc:creator>
  <cp:keywords/>
  <dc:description/>
  <cp:lastModifiedBy>Barbara Radziwiłł-Wróbel</cp:lastModifiedBy>
  <cp:revision>29</cp:revision>
  <cp:lastPrinted>2015-08-18T05:38:00Z</cp:lastPrinted>
  <dcterms:created xsi:type="dcterms:W3CDTF">2015-08-20T08:10:00Z</dcterms:created>
  <dcterms:modified xsi:type="dcterms:W3CDTF">2015-09-21T14:59:00Z</dcterms:modified>
</cp:coreProperties>
</file>