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48" w:rsidRDefault="00440A48" w:rsidP="00440A48">
      <w:pPr>
        <w:autoSpaceDE w:val="0"/>
        <w:autoSpaceDN w:val="0"/>
        <w:adjustRightInd w:val="0"/>
        <w:spacing w:before="0" w:line="24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bookmarkStart w:id="0" w:name="_Toc426632922"/>
      <w:bookmarkStart w:id="1" w:name="_Toc430826826"/>
      <w:bookmarkStart w:id="2" w:name="_Toc432758974"/>
    </w:p>
    <w:p w:rsidR="009D3C56" w:rsidRPr="00F02218" w:rsidRDefault="00422DE9" w:rsidP="00440A48">
      <w:pPr>
        <w:autoSpaceDE w:val="0"/>
        <w:autoSpaceDN w:val="0"/>
        <w:adjustRightInd w:val="0"/>
        <w:spacing w:before="0" w:line="240" w:lineRule="auto"/>
        <w:jc w:val="center"/>
        <w:rPr>
          <w:b/>
          <w:sz w:val="24"/>
          <w:szCs w:val="24"/>
        </w:rPr>
      </w:pPr>
      <w:r w:rsidRPr="00422DE9">
        <w:rPr>
          <w:rFonts w:ascii="Calibri" w:hAnsi="Calibri" w:cs="Calibri"/>
          <w:b/>
          <w:color w:val="000000"/>
          <w:sz w:val="24"/>
          <w:szCs w:val="24"/>
        </w:rPr>
        <w:t xml:space="preserve">Lista wskaźników na poziomie projektu dla </w:t>
      </w:r>
      <w:proofErr w:type="spellStart"/>
      <w:r w:rsidRPr="00422DE9">
        <w:rPr>
          <w:rFonts w:ascii="Calibri" w:hAnsi="Calibri" w:cs="Calibri"/>
          <w:b/>
          <w:color w:val="000000"/>
          <w:sz w:val="24"/>
          <w:szCs w:val="24"/>
        </w:rPr>
        <w:t>Poddziałania</w:t>
      </w:r>
      <w:proofErr w:type="spellEnd"/>
      <w:r w:rsidRPr="00422DE9">
        <w:rPr>
          <w:rFonts w:ascii="Calibri" w:hAnsi="Calibri" w:cs="Calibri"/>
          <w:b/>
          <w:color w:val="000000"/>
          <w:sz w:val="24"/>
          <w:szCs w:val="24"/>
        </w:rPr>
        <w:t xml:space="preserve"> 6.1.</w:t>
      </w:r>
      <w:r w:rsidR="00511166">
        <w:rPr>
          <w:rFonts w:ascii="Calibri" w:hAnsi="Calibri" w:cs="Calibri"/>
          <w:b/>
          <w:color w:val="000000"/>
          <w:sz w:val="24"/>
          <w:szCs w:val="24"/>
        </w:rPr>
        <w:t>2</w:t>
      </w:r>
      <w:r w:rsidRPr="00422DE9">
        <w:rPr>
          <w:rFonts w:ascii="Calibri" w:hAnsi="Calibri" w:cs="Calibri"/>
          <w:b/>
          <w:color w:val="000000"/>
          <w:sz w:val="24"/>
          <w:szCs w:val="24"/>
        </w:rPr>
        <w:t xml:space="preserve"> Inwestycje w infrastrukturę społeczną – </w:t>
      </w:r>
      <w:r w:rsidR="00511166">
        <w:rPr>
          <w:rFonts w:ascii="Calibri" w:hAnsi="Calibri" w:cs="Calibri"/>
          <w:b/>
          <w:color w:val="000000"/>
          <w:sz w:val="24"/>
          <w:szCs w:val="24"/>
        </w:rPr>
        <w:t>ZIT WrOF</w:t>
      </w:r>
      <w:r w:rsidR="008D1389">
        <w:rPr>
          <w:rFonts w:ascii="Calibri" w:hAnsi="Calibri" w:cs="Calibri"/>
          <w:b/>
          <w:color w:val="000000"/>
          <w:sz w:val="24"/>
          <w:szCs w:val="24"/>
        </w:rPr>
        <w:t xml:space="preserve"> – </w:t>
      </w:r>
      <w:r w:rsidRPr="00422DE9">
        <w:rPr>
          <w:rFonts w:ascii="Calibri" w:hAnsi="Calibri" w:cs="Calibri"/>
          <w:b/>
          <w:color w:val="000000"/>
          <w:sz w:val="24"/>
          <w:szCs w:val="24"/>
        </w:rPr>
        <w:t>6.1.</w:t>
      </w:r>
      <w:r w:rsidR="00511166">
        <w:rPr>
          <w:rFonts w:ascii="Calibri" w:hAnsi="Calibri" w:cs="Calibri"/>
          <w:b/>
          <w:color w:val="000000"/>
          <w:sz w:val="24"/>
          <w:szCs w:val="24"/>
        </w:rPr>
        <w:t>2</w:t>
      </w:r>
      <w:r w:rsidRPr="00422DE9">
        <w:rPr>
          <w:rFonts w:ascii="Calibri" w:hAnsi="Calibri" w:cs="Calibri"/>
          <w:b/>
          <w:color w:val="000000"/>
          <w:sz w:val="24"/>
          <w:szCs w:val="24"/>
        </w:rPr>
        <w:t>.C Budowa, remont, przebudowa, rozbudowa</w:t>
      </w:r>
      <w:r w:rsidR="00440A48">
        <w:rPr>
          <w:rStyle w:val="Odwoanieprzypisudolnego"/>
          <w:rFonts w:ascii="Calibri" w:hAnsi="Calibri" w:cs="Calibri"/>
          <w:b/>
          <w:color w:val="000000"/>
          <w:sz w:val="24"/>
          <w:szCs w:val="24"/>
        </w:rPr>
        <w:footnoteReference w:id="1"/>
      </w:r>
      <w:r w:rsidRPr="00422DE9">
        <w:rPr>
          <w:rFonts w:ascii="Calibri" w:hAnsi="Calibri" w:cs="Calibri"/>
          <w:b/>
          <w:color w:val="000000"/>
          <w:sz w:val="24"/>
          <w:szCs w:val="24"/>
        </w:rPr>
        <w:t>, wyposażenie, modernizacja oraz adaptacja infrastruktury prowadzonej przez podmioty opieki nad dziećmi do 3 roku ży</w:t>
      </w:r>
      <w:r w:rsidR="005506E5">
        <w:rPr>
          <w:rFonts w:ascii="Calibri" w:hAnsi="Calibri" w:cs="Calibri"/>
          <w:b/>
          <w:color w:val="000000"/>
          <w:sz w:val="24"/>
          <w:szCs w:val="24"/>
        </w:rPr>
        <w:t xml:space="preserve">cia (np. żłobki, kluby malucha) </w:t>
      </w:r>
      <w:r w:rsidRPr="00422DE9">
        <w:rPr>
          <w:rFonts w:ascii="Calibri" w:hAnsi="Calibri" w:cs="Calibri"/>
          <w:b/>
          <w:color w:val="000000"/>
          <w:sz w:val="24"/>
          <w:szCs w:val="24"/>
        </w:rPr>
        <w:t>w ramach RPO WD 2014-2020</w:t>
      </w:r>
    </w:p>
    <w:p w:rsidR="00CF69D1" w:rsidRDefault="00CF69D1" w:rsidP="007650AC">
      <w:pPr>
        <w:autoSpaceDE w:val="0"/>
        <w:autoSpaceDN w:val="0"/>
        <w:spacing w:before="120" w:after="120" w:line="240" w:lineRule="auto"/>
        <w:jc w:val="both"/>
        <w:rPr>
          <w:rFonts w:asciiTheme="minorHAnsi" w:eastAsiaTheme="minorHAnsi" w:hAnsiTheme="minorHAnsi" w:cs="Calibri"/>
          <w:szCs w:val="22"/>
          <w:lang w:eastAsia="en-US"/>
        </w:rPr>
      </w:pPr>
    </w:p>
    <w:p w:rsidR="005657D8" w:rsidRDefault="005657D8" w:rsidP="007650AC">
      <w:pPr>
        <w:autoSpaceDE w:val="0"/>
        <w:autoSpaceDN w:val="0"/>
        <w:spacing w:before="120" w:after="120" w:line="240" w:lineRule="auto"/>
        <w:jc w:val="both"/>
        <w:rPr>
          <w:rFonts w:asciiTheme="minorHAnsi" w:eastAsiaTheme="minorHAnsi" w:hAnsiTheme="minorHAnsi" w:cs="Calibri"/>
          <w:szCs w:val="22"/>
          <w:lang w:eastAsia="en-US"/>
        </w:rPr>
      </w:pPr>
      <w:r w:rsidRPr="00911273">
        <w:rPr>
          <w:rFonts w:asciiTheme="minorHAnsi" w:eastAsiaTheme="minorHAnsi" w:hAnsiTheme="minorHAnsi" w:cs="Calibri"/>
          <w:szCs w:val="22"/>
          <w:lang w:eastAsia="en-US"/>
        </w:rPr>
        <w:t>Główną funkcją wskaźników jest zmierzenie, na ile cel główny projektu zostały zrealizowany</w:t>
      </w:r>
      <w:r>
        <w:rPr>
          <w:rFonts w:asciiTheme="minorHAnsi" w:eastAsiaTheme="minorHAnsi" w:hAnsiTheme="minorHAnsi" w:cs="Calibri"/>
          <w:szCs w:val="22"/>
          <w:lang w:eastAsia="en-US"/>
        </w:rPr>
        <w:t xml:space="preserve">. Wskaźniki służą ilościowej prezentacji działań podjętych w ramach projektu i ich rezultatów. </w:t>
      </w:r>
      <w:r w:rsidRPr="00911273">
        <w:rPr>
          <w:rFonts w:asciiTheme="minorHAnsi" w:eastAsiaTheme="minorHAnsi" w:hAnsiTheme="minorHAnsi" w:cs="Calibri"/>
          <w:szCs w:val="22"/>
          <w:lang w:eastAsia="en-US"/>
        </w:rPr>
        <w:t xml:space="preserve">W trakcie realizacji projektu wskaźniki powinny umożliwiać mierzenie jego postępu względem celów projektu. </w:t>
      </w:r>
    </w:p>
    <w:p w:rsidR="005657D8" w:rsidRDefault="005657D8" w:rsidP="007650AC">
      <w:pPr>
        <w:autoSpaceDE w:val="0"/>
        <w:autoSpaceDN w:val="0"/>
        <w:spacing w:before="120" w:after="120" w:line="240" w:lineRule="auto"/>
        <w:jc w:val="both"/>
        <w:rPr>
          <w:rFonts w:asciiTheme="minorHAnsi" w:hAnsiTheme="minorHAnsi"/>
          <w:szCs w:val="22"/>
        </w:rPr>
      </w:pPr>
      <w:r w:rsidRPr="00911273">
        <w:rPr>
          <w:rFonts w:asciiTheme="minorHAnsi" w:eastAsiaTheme="minorHAnsi" w:hAnsiTheme="minorHAnsi" w:cs="Calibri"/>
          <w:szCs w:val="22"/>
          <w:lang w:eastAsia="en-US"/>
        </w:rPr>
        <w:t>Wybór wskaźników projektu powinien być powiązany z typem realizowanego przedsięwzięcia i</w:t>
      </w:r>
      <w:r w:rsidR="00422DE9">
        <w:rPr>
          <w:rFonts w:asciiTheme="minorHAnsi" w:eastAsiaTheme="minorHAnsi" w:hAnsiTheme="minorHAnsi" w:cs="Calibri"/>
          <w:szCs w:val="22"/>
          <w:lang w:eastAsia="en-US"/>
        </w:rPr>
        <w:t> </w:t>
      </w:r>
      <w:r w:rsidRPr="00911273">
        <w:rPr>
          <w:rFonts w:asciiTheme="minorHAnsi" w:eastAsiaTheme="minorHAnsi" w:hAnsiTheme="minorHAnsi" w:cs="Calibri"/>
          <w:szCs w:val="22"/>
          <w:lang w:eastAsia="en-US"/>
        </w:rPr>
        <w:t xml:space="preserve">planowanymi działaniami, które </w:t>
      </w:r>
      <w:r w:rsidR="008E3F0D">
        <w:rPr>
          <w:rFonts w:asciiTheme="minorHAnsi" w:eastAsiaTheme="minorHAnsi" w:hAnsiTheme="minorHAnsi" w:cs="Calibri"/>
          <w:szCs w:val="22"/>
          <w:lang w:eastAsia="en-US"/>
        </w:rPr>
        <w:t>Wnioskodawca</w:t>
      </w:r>
      <w:r w:rsidRPr="00911273">
        <w:rPr>
          <w:rFonts w:asciiTheme="minorHAnsi" w:eastAsiaTheme="minorHAnsi" w:hAnsiTheme="minorHAnsi" w:cs="Calibri"/>
          <w:szCs w:val="22"/>
          <w:lang w:eastAsia="en-US"/>
        </w:rPr>
        <w:t xml:space="preserve"> zamierza podjąć w ramach projektu. </w:t>
      </w:r>
      <w:r w:rsidRPr="00911273">
        <w:rPr>
          <w:rFonts w:asciiTheme="minorHAnsi" w:eastAsiaTheme="minorHAnsi" w:hAnsiTheme="minorHAnsi" w:cs="Calibri"/>
          <w:bCs/>
          <w:szCs w:val="22"/>
          <w:lang w:eastAsia="en-US"/>
        </w:rPr>
        <w:t xml:space="preserve">Do celu głównego projektu </w:t>
      </w:r>
      <w:r w:rsidR="008E3F0D">
        <w:rPr>
          <w:rFonts w:asciiTheme="minorHAnsi" w:eastAsiaTheme="minorHAnsi" w:hAnsiTheme="minorHAnsi" w:cs="Calibri"/>
          <w:bCs/>
          <w:szCs w:val="22"/>
          <w:lang w:eastAsia="en-US"/>
        </w:rPr>
        <w:t>Wnioskodawca</w:t>
      </w:r>
      <w:r w:rsidRPr="00911273">
        <w:rPr>
          <w:rFonts w:asciiTheme="minorHAnsi" w:eastAsiaTheme="minorHAnsi" w:hAnsiTheme="minorHAnsi" w:cs="Calibri"/>
          <w:bCs/>
          <w:szCs w:val="22"/>
          <w:lang w:eastAsia="en-US"/>
        </w:rPr>
        <w:t xml:space="preserve"> powinien dobrać odpowiednie wskaźniki, produktu i rezultatu</w:t>
      </w:r>
      <w:r w:rsidRPr="00911273">
        <w:rPr>
          <w:rFonts w:asciiTheme="minorHAnsi" w:eastAsiaTheme="minorHAnsi" w:hAnsiTheme="minorHAnsi" w:cs="Calibri"/>
          <w:szCs w:val="22"/>
          <w:lang w:eastAsia="en-US"/>
        </w:rPr>
        <w:t xml:space="preserve"> bezpośredniego</w:t>
      </w:r>
      <w:r>
        <w:rPr>
          <w:rFonts w:asciiTheme="minorHAnsi" w:eastAsiaTheme="minorHAnsi" w:hAnsiTheme="minorHAnsi" w:cs="Calibri"/>
          <w:szCs w:val="22"/>
          <w:lang w:eastAsia="en-US"/>
        </w:rPr>
        <w:t>. Muszą być logicznie powiązane z projektem i spójne</w:t>
      </w:r>
      <w:r w:rsidR="008E3F0D">
        <w:rPr>
          <w:rFonts w:asciiTheme="minorHAnsi" w:eastAsiaTheme="minorHAnsi" w:hAnsiTheme="minorHAnsi" w:cs="Calibri"/>
          <w:szCs w:val="22"/>
          <w:lang w:eastAsia="en-US"/>
        </w:rPr>
        <w:t>.</w:t>
      </w:r>
      <w:r w:rsidRPr="00911273">
        <w:rPr>
          <w:rFonts w:asciiTheme="minorHAnsi" w:eastAsiaTheme="minorHAnsi" w:hAnsiTheme="minorHAnsi" w:cs="Calibri"/>
          <w:szCs w:val="22"/>
          <w:lang w:eastAsia="en-US"/>
        </w:rPr>
        <w:t xml:space="preserve"> </w:t>
      </w:r>
    </w:p>
    <w:p w:rsidR="00620A45" w:rsidRPr="00911273" w:rsidRDefault="00620A45" w:rsidP="007650AC">
      <w:pPr>
        <w:autoSpaceDE w:val="0"/>
        <w:autoSpaceDN w:val="0"/>
        <w:spacing w:before="120" w:after="120" w:line="240" w:lineRule="auto"/>
        <w:jc w:val="both"/>
        <w:rPr>
          <w:rFonts w:asciiTheme="minorHAnsi" w:eastAsiaTheme="minorHAnsi" w:hAnsiTheme="minorHAnsi" w:cs="Calibri"/>
          <w:szCs w:val="22"/>
          <w:lang w:eastAsia="en-US"/>
        </w:rPr>
      </w:pPr>
      <w:r>
        <w:rPr>
          <w:rFonts w:asciiTheme="minorHAnsi" w:hAnsiTheme="minorHAnsi"/>
          <w:szCs w:val="22"/>
        </w:rPr>
        <w:t>Każdy ze wskaźników powinien posiadać następujące cechy:</w:t>
      </w:r>
    </w:p>
    <w:p w:rsidR="00620A45" w:rsidRDefault="00620A45" w:rsidP="00422DE9">
      <w:pPr>
        <w:numPr>
          <w:ilvl w:val="0"/>
          <w:numId w:val="8"/>
        </w:numPr>
        <w:autoSpaceDE w:val="0"/>
        <w:autoSpaceDN w:val="0"/>
        <w:spacing w:before="0" w:line="240" w:lineRule="auto"/>
        <w:ind w:left="284" w:hanging="284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adekwatność – wskaźnik powinien być dostosowany do charakteru projektu oraz oczekiwanych efektów związanych z jego realizacją;</w:t>
      </w:r>
    </w:p>
    <w:p w:rsidR="00620A45" w:rsidRDefault="00620A45" w:rsidP="00422DE9">
      <w:pPr>
        <w:numPr>
          <w:ilvl w:val="0"/>
          <w:numId w:val="8"/>
        </w:numPr>
        <w:autoSpaceDE w:val="0"/>
        <w:autoSpaceDN w:val="0"/>
        <w:spacing w:before="0" w:line="240" w:lineRule="auto"/>
        <w:ind w:left="284" w:hanging="284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mierzalność – wskaźnik powinien być kwantyfikowalny, tj. wyrażony w wartościach liczbowych</w:t>
      </w:r>
      <w:r w:rsidR="008E3F0D">
        <w:rPr>
          <w:rFonts w:asciiTheme="minorHAnsi" w:hAnsiTheme="minorHAnsi"/>
          <w:szCs w:val="22"/>
        </w:rPr>
        <w:t xml:space="preserve"> bądź finansowych</w:t>
      </w:r>
      <w:r>
        <w:rPr>
          <w:rFonts w:asciiTheme="minorHAnsi" w:hAnsiTheme="minorHAnsi"/>
          <w:szCs w:val="22"/>
        </w:rPr>
        <w:t>;</w:t>
      </w:r>
    </w:p>
    <w:p w:rsidR="00620A45" w:rsidRDefault="00620A45" w:rsidP="00422DE9">
      <w:pPr>
        <w:numPr>
          <w:ilvl w:val="0"/>
          <w:numId w:val="8"/>
        </w:numPr>
        <w:autoSpaceDE w:val="0"/>
        <w:autoSpaceDN w:val="0"/>
        <w:spacing w:before="0" w:line="240" w:lineRule="auto"/>
        <w:ind w:left="284" w:hanging="284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wiarygodność – wskaźnik powinien być zdefiniowany w taki sposób, aby jego weryfikacja nie powodowała utrudnień;</w:t>
      </w:r>
    </w:p>
    <w:p w:rsidR="00620A45" w:rsidRDefault="00620A45" w:rsidP="00422DE9">
      <w:pPr>
        <w:numPr>
          <w:ilvl w:val="0"/>
          <w:numId w:val="8"/>
        </w:numPr>
        <w:autoSpaceDE w:val="0"/>
        <w:autoSpaceDN w:val="0"/>
        <w:spacing w:before="0" w:line="240" w:lineRule="auto"/>
        <w:ind w:left="284" w:hanging="284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dostępność – wskaźnik powinien być łatwy do określenia w wyniku realizacji projektu;</w:t>
      </w:r>
    </w:p>
    <w:p w:rsidR="00620A45" w:rsidRDefault="00620A45" w:rsidP="00422DE9">
      <w:pPr>
        <w:numPr>
          <w:ilvl w:val="0"/>
          <w:numId w:val="8"/>
        </w:numPr>
        <w:autoSpaceDE w:val="0"/>
        <w:autoSpaceDN w:val="0"/>
        <w:spacing w:before="0" w:line="240" w:lineRule="auto"/>
        <w:ind w:left="284" w:hanging="284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określony w czasie –</w:t>
      </w:r>
      <w:r w:rsidR="00422DE9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wartość wskaźnika powinna zostać określona w czasie, tj. określony rok osiągnięcia wartości docelowej wskaźnika</w:t>
      </w:r>
      <w:r w:rsidR="00370466">
        <w:rPr>
          <w:rFonts w:asciiTheme="minorHAnsi" w:hAnsiTheme="minorHAnsi"/>
          <w:szCs w:val="22"/>
        </w:rPr>
        <w:t xml:space="preserve"> oraz okres</w:t>
      </w:r>
      <w:r>
        <w:rPr>
          <w:rFonts w:asciiTheme="minorHAnsi" w:hAnsiTheme="minorHAnsi"/>
          <w:szCs w:val="22"/>
        </w:rPr>
        <w:t xml:space="preserve">, w którym będzie </w:t>
      </w:r>
      <w:r w:rsidR="00370466">
        <w:rPr>
          <w:rFonts w:asciiTheme="minorHAnsi" w:hAnsiTheme="minorHAnsi"/>
          <w:szCs w:val="22"/>
        </w:rPr>
        <w:t>mierzony wskaźnik</w:t>
      </w:r>
      <w:r w:rsidR="00422DE9">
        <w:rPr>
          <w:rFonts w:asciiTheme="minorHAnsi" w:hAnsiTheme="minorHAnsi"/>
          <w:szCs w:val="22"/>
        </w:rPr>
        <w:t>.</w:t>
      </w:r>
    </w:p>
    <w:p w:rsidR="005657D8" w:rsidRDefault="005657D8" w:rsidP="00422DE9">
      <w:pPr>
        <w:autoSpaceDE w:val="0"/>
        <w:autoSpaceDN w:val="0"/>
        <w:adjustRightInd w:val="0"/>
        <w:spacing w:before="120" w:line="240" w:lineRule="auto"/>
        <w:jc w:val="both"/>
        <w:rPr>
          <w:rFonts w:asciiTheme="minorHAnsi" w:eastAsiaTheme="minorHAnsi" w:hAnsiTheme="minorHAnsi" w:cs="Calibri"/>
          <w:szCs w:val="22"/>
          <w:lang w:eastAsia="en-US"/>
        </w:rPr>
      </w:pPr>
      <w:r w:rsidRPr="00911273">
        <w:rPr>
          <w:rFonts w:asciiTheme="minorHAnsi" w:eastAsiaTheme="minorHAnsi" w:hAnsiTheme="minorHAnsi" w:cs="Calibri"/>
          <w:szCs w:val="22"/>
          <w:lang w:eastAsia="en-US"/>
        </w:rPr>
        <w:t xml:space="preserve">Odpowiednio we wniosku </w:t>
      </w:r>
      <w:r w:rsidR="00370466">
        <w:rPr>
          <w:rFonts w:asciiTheme="minorHAnsi" w:eastAsiaTheme="minorHAnsi" w:hAnsiTheme="minorHAnsi" w:cs="Calibri"/>
          <w:szCs w:val="22"/>
          <w:lang w:eastAsia="en-US"/>
        </w:rPr>
        <w:t xml:space="preserve">o dofinansowanie </w:t>
      </w:r>
      <w:r w:rsidRPr="00911273">
        <w:rPr>
          <w:rFonts w:asciiTheme="minorHAnsi" w:eastAsiaTheme="minorHAnsi" w:hAnsiTheme="minorHAnsi" w:cs="Calibri"/>
          <w:szCs w:val="22"/>
          <w:lang w:eastAsia="en-US"/>
        </w:rPr>
        <w:t>należy określić, w jaki sposób mierzona będzie realizacja ce</w:t>
      </w:r>
      <w:r w:rsidR="00B7566F">
        <w:rPr>
          <w:rFonts w:asciiTheme="minorHAnsi" w:eastAsiaTheme="minorHAnsi" w:hAnsiTheme="minorHAnsi" w:cs="Calibri"/>
          <w:szCs w:val="22"/>
          <w:lang w:eastAsia="en-US"/>
        </w:rPr>
        <w:t>lu poprzez ustalenie wskaźników</w:t>
      </w:r>
      <w:r w:rsidRPr="00911273">
        <w:rPr>
          <w:rFonts w:asciiTheme="minorHAnsi" w:eastAsiaTheme="minorHAnsi" w:hAnsiTheme="minorHAnsi" w:cs="Calibri"/>
          <w:szCs w:val="22"/>
          <w:lang w:eastAsia="en-US"/>
        </w:rPr>
        <w:t>. Należy określić, co najmniej jeden podstawowy i mierzalny wskaźnik, który w sposób precyzyjny umożliwi weryfikację stopnia realizacji celu głównego</w:t>
      </w:r>
      <w:r w:rsidR="008E3F0D">
        <w:rPr>
          <w:rFonts w:asciiTheme="minorHAnsi" w:eastAsiaTheme="minorHAnsi" w:hAnsiTheme="minorHAnsi" w:cs="Calibri"/>
          <w:szCs w:val="22"/>
          <w:lang w:eastAsia="en-US"/>
        </w:rPr>
        <w:t xml:space="preserve"> projektu</w:t>
      </w:r>
      <w:r w:rsidR="00422DE9">
        <w:rPr>
          <w:rFonts w:asciiTheme="minorHAnsi" w:eastAsiaTheme="minorHAnsi" w:hAnsiTheme="minorHAnsi" w:cs="Calibri"/>
          <w:szCs w:val="22"/>
          <w:lang w:eastAsia="en-US"/>
        </w:rPr>
        <w:t>.</w:t>
      </w:r>
    </w:p>
    <w:p w:rsidR="00370466" w:rsidRDefault="00370466" w:rsidP="007650AC">
      <w:pPr>
        <w:spacing w:before="120" w:after="120" w:line="240" w:lineRule="auto"/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W ramach RPO WD 2014-2020 rozróżnia się następujące wskaźniki:</w:t>
      </w:r>
    </w:p>
    <w:p w:rsidR="00370466" w:rsidRDefault="00370466" w:rsidP="00422DE9">
      <w:pPr>
        <w:pStyle w:val="Akapitzlist"/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obligatoryjne – wskaźniki ujęte w RPO WD 2014-2020,</w:t>
      </w:r>
      <w:r w:rsidR="008E3F0D">
        <w:rPr>
          <w:rFonts w:asciiTheme="minorHAnsi" w:hAnsiTheme="minorHAnsi"/>
          <w:b/>
          <w:szCs w:val="22"/>
        </w:rPr>
        <w:t xml:space="preserve"> SZOOP RPO </w:t>
      </w:r>
      <w:r w:rsidR="00B40F0F">
        <w:rPr>
          <w:rFonts w:asciiTheme="minorHAnsi" w:hAnsiTheme="minorHAnsi"/>
          <w:b/>
          <w:szCs w:val="22"/>
        </w:rPr>
        <w:t>W</w:t>
      </w:r>
      <w:r w:rsidR="008E3F0D">
        <w:rPr>
          <w:rFonts w:asciiTheme="minorHAnsi" w:hAnsiTheme="minorHAnsi"/>
          <w:b/>
          <w:szCs w:val="22"/>
        </w:rPr>
        <w:t>D 2014-2020</w:t>
      </w:r>
      <w:r w:rsidR="00422DE9">
        <w:rPr>
          <w:rFonts w:asciiTheme="minorHAnsi" w:hAnsiTheme="minorHAnsi"/>
          <w:b/>
          <w:szCs w:val="22"/>
        </w:rPr>
        <w:t>;</w:t>
      </w:r>
    </w:p>
    <w:p w:rsidR="00370466" w:rsidRDefault="00422DE9" w:rsidP="00422DE9">
      <w:pPr>
        <w:pStyle w:val="Akapitzlist"/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horyzontalne;</w:t>
      </w:r>
    </w:p>
    <w:p w:rsidR="00370466" w:rsidRDefault="00370466" w:rsidP="00422DE9">
      <w:pPr>
        <w:pStyle w:val="Akapitzlist"/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dodatkowe </w:t>
      </w:r>
      <w:r w:rsidR="0015486C">
        <w:rPr>
          <w:rFonts w:asciiTheme="minorHAnsi" w:hAnsiTheme="minorHAnsi"/>
          <w:b/>
          <w:szCs w:val="22"/>
        </w:rPr>
        <w:t>– wskaźniki projektowe</w:t>
      </w:r>
      <w:r w:rsidR="00422DE9">
        <w:rPr>
          <w:rFonts w:asciiTheme="minorHAnsi" w:hAnsiTheme="minorHAnsi"/>
          <w:b/>
          <w:szCs w:val="22"/>
        </w:rPr>
        <w:t>.</w:t>
      </w:r>
    </w:p>
    <w:p w:rsidR="008C495E" w:rsidRPr="00911273" w:rsidRDefault="008C495E" w:rsidP="007650AC">
      <w:pPr>
        <w:pStyle w:val="Nagwek1"/>
        <w:spacing w:before="120" w:after="120" w:line="240" w:lineRule="auto"/>
        <w:jc w:val="both"/>
        <w:rPr>
          <w:rFonts w:asciiTheme="minorHAnsi" w:hAnsiTheme="minorHAnsi"/>
          <w:sz w:val="22"/>
          <w:szCs w:val="22"/>
        </w:rPr>
      </w:pPr>
      <w:r w:rsidRPr="00911273">
        <w:rPr>
          <w:rFonts w:asciiTheme="minorHAnsi" w:hAnsiTheme="minorHAnsi"/>
          <w:sz w:val="22"/>
          <w:szCs w:val="22"/>
        </w:rPr>
        <w:t>Wymagania w zakresie wskaźników w projekcie</w:t>
      </w:r>
      <w:bookmarkEnd w:id="0"/>
      <w:bookmarkEnd w:id="1"/>
      <w:bookmarkEnd w:id="2"/>
      <w:r w:rsidR="00422DE9">
        <w:rPr>
          <w:rFonts w:asciiTheme="minorHAnsi" w:hAnsiTheme="minorHAnsi"/>
          <w:sz w:val="22"/>
          <w:szCs w:val="22"/>
        </w:rPr>
        <w:t>:</w:t>
      </w:r>
    </w:p>
    <w:p w:rsidR="00A459F4" w:rsidRDefault="008C495E" w:rsidP="00A459F4">
      <w:pPr>
        <w:pStyle w:val="Default"/>
        <w:jc w:val="both"/>
        <w:rPr>
          <w:rFonts w:asciiTheme="minorHAnsi" w:eastAsiaTheme="minorHAnsi" w:hAnsiTheme="minorHAnsi" w:cs="Calibri"/>
          <w:szCs w:val="22"/>
          <w:lang w:eastAsia="en-US"/>
        </w:rPr>
      </w:pPr>
      <w:r w:rsidRPr="00911273">
        <w:rPr>
          <w:rFonts w:asciiTheme="minorHAnsi" w:eastAsiaTheme="minorHAnsi" w:hAnsiTheme="minorHAnsi" w:cs="Calibri"/>
          <w:szCs w:val="22"/>
          <w:lang w:eastAsia="en-US"/>
        </w:rPr>
        <w:t xml:space="preserve">W ramach wniosku o dofinansowanie projektu Wnioskodawca określa </w:t>
      </w:r>
      <w:r w:rsidRPr="00911273">
        <w:rPr>
          <w:rFonts w:asciiTheme="minorHAnsi" w:eastAsiaTheme="minorHAnsi" w:hAnsiTheme="minorHAnsi" w:cs="Calibri"/>
          <w:b/>
          <w:bCs/>
          <w:szCs w:val="22"/>
          <w:lang w:eastAsia="en-US"/>
        </w:rPr>
        <w:t>wskaźniki służące pomiarowi działań i</w:t>
      </w:r>
      <w:r w:rsidR="00422DE9">
        <w:rPr>
          <w:rFonts w:asciiTheme="minorHAnsi" w:eastAsiaTheme="minorHAnsi" w:hAnsiTheme="minorHAnsi" w:cs="Calibri"/>
          <w:b/>
          <w:bCs/>
          <w:szCs w:val="22"/>
          <w:lang w:eastAsia="en-US"/>
        </w:rPr>
        <w:t> </w:t>
      </w:r>
      <w:r w:rsidRPr="00911273">
        <w:rPr>
          <w:rFonts w:asciiTheme="minorHAnsi" w:eastAsiaTheme="minorHAnsi" w:hAnsiTheme="minorHAnsi" w:cs="Calibri"/>
          <w:b/>
          <w:bCs/>
          <w:szCs w:val="22"/>
          <w:lang w:eastAsia="en-US"/>
        </w:rPr>
        <w:t>celów założonych w projekcie.</w:t>
      </w:r>
      <w:r w:rsidRPr="00911273">
        <w:rPr>
          <w:rFonts w:asciiTheme="minorHAnsi" w:eastAsiaTheme="minorHAnsi" w:hAnsiTheme="minorHAnsi" w:cs="Calibri"/>
          <w:szCs w:val="22"/>
          <w:lang w:eastAsia="en-US"/>
        </w:rPr>
        <w:t xml:space="preserve"> Wskaźniki w ramach projektu należy określić mając w szczególności na uwadze zapisy niniejszego </w:t>
      </w:r>
      <w:r w:rsidR="00422DE9">
        <w:rPr>
          <w:rFonts w:asciiTheme="minorHAnsi" w:eastAsiaTheme="minorHAnsi" w:hAnsiTheme="minorHAnsi" w:cs="Calibri"/>
          <w:szCs w:val="22"/>
          <w:lang w:eastAsia="en-US"/>
        </w:rPr>
        <w:t>R</w:t>
      </w:r>
      <w:r w:rsidRPr="00911273">
        <w:rPr>
          <w:rFonts w:asciiTheme="minorHAnsi" w:eastAsiaTheme="minorHAnsi" w:hAnsiTheme="minorHAnsi" w:cs="Calibri"/>
          <w:szCs w:val="22"/>
          <w:lang w:eastAsia="en-US"/>
        </w:rPr>
        <w:t>egulaminu</w:t>
      </w:r>
      <w:r w:rsidR="00A459F4">
        <w:rPr>
          <w:rFonts w:asciiTheme="minorHAnsi" w:eastAsiaTheme="minorHAnsi" w:hAnsiTheme="minorHAnsi" w:cs="Calibri"/>
          <w:szCs w:val="22"/>
          <w:lang w:eastAsia="en-US"/>
        </w:rPr>
        <w:t>.</w:t>
      </w:r>
    </w:p>
    <w:p w:rsidR="00A459F4" w:rsidRDefault="00A459F4" w:rsidP="00A459F4">
      <w:pPr>
        <w:pStyle w:val="Default"/>
        <w:jc w:val="both"/>
        <w:rPr>
          <w:rFonts w:asciiTheme="minorHAnsi" w:eastAsiaTheme="minorHAnsi" w:hAnsiTheme="minorHAnsi" w:cs="Calibri"/>
          <w:szCs w:val="22"/>
          <w:lang w:eastAsia="en-US"/>
        </w:rPr>
      </w:pPr>
    </w:p>
    <w:p w:rsidR="009D3C56" w:rsidRPr="00A459F4" w:rsidRDefault="00A459F4" w:rsidP="00440A48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8A09D1">
        <w:rPr>
          <w:rFonts w:asciiTheme="minorHAnsi" w:hAnsiTheme="minorHAnsi"/>
          <w:b/>
          <w:sz w:val="22"/>
          <w:szCs w:val="22"/>
        </w:rPr>
        <w:t xml:space="preserve">W przypadku, gdy w ramach danego </w:t>
      </w:r>
      <w:r>
        <w:rPr>
          <w:rFonts w:asciiTheme="minorHAnsi" w:hAnsiTheme="minorHAnsi"/>
          <w:b/>
          <w:sz w:val="22"/>
          <w:szCs w:val="22"/>
        </w:rPr>
        <w:t>D</w:t>
      </w:r>
      <w:r w:rsidRPr="008A09D1">
        <w:rPr>
          <w:rFonts w:asciiTheme="minorHAnsi" w:hAnsiTheme="minorHAnsi"/>
          <w:b/>
          <w:sz w:val="22"/>
          <w:szCs w:val="22"/>
        </w:rPr>
        <w:t>ziałania uwzględniony został wskaźnik z RPO</w:t>
      </w:r>
      <w:r w:rsidR="00B40F0F">
        <w:rPr>
          <w:rFonts w:asciiTheme="minorHAnsi" w:hAnsiTheme="minorHAnsi"/>
          <w:b/>
          <w:sz w:val="22"/>
          <w:szCs w:val="22"/>
        </w:rPr>
        <w:t xml:space="preserve"> WD 2014-2020</w:t>
      </w:r>
      <w:r w:rsidRPr="008A09D1">
        <w:rPr>
          <w:rFonts w:asciiTheme="minorHAnsi" w:hAnsiTheme="minorHAnsi"/>
          <w:b/>
          <w:sz w:val="22"/>
          <w:szCs w:val="22"/>
        </w:rPr>
        <w:t>, który odzwierciedla zakres projektu, jego w</w:t>
      </w:r>
      <w:r w:rsidR="00422DE9">
        <w:rPr>
          <w:rFonts w:asciiTheme="minorHAnsi" w:hAnsiTheme="minorHAnsi"/>
          <w:b/>
          <w:sz w:val="22"/>
          <w:szCs w:val="22"/>
        </w:rPr>
        <w:t>ykazanie dla Wnioskodawcy jest obligatoryjne.</w:t>
      </w:r>
    </w:p>
    <w:p w:rsidR="008A09D1" w:rsidRPr="008A09D1" w:rsidRDefault="008A09D1" w:rsidP="00422DE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000000"/>
        </w:rPr>
      </w:pPr>
      <w:r w:rsidRPr="008A09D1">
        <w:rPr>
          <w:rFonts w:asciiTheme="minorHAnsi" w:hAnsiTheme="minorHAnsi" w:cs="Arial"/>
          <w:b/>
          <w:color w:val="000000"/>
        </w:rPr>
        <w:t>W</w:t>
      </w:r>
      <w:r w:rsidRPr="008A09D1">
        <w:rPr>
          <w:rFonts w:asciiTheme="minorHAnsi" w:hAnsiTheme="minorHAnsi" w:cs="Arial"/>
          <w:b/>
          <w:bCs/>
          <w:color w:val="000000"/>
        </w:rPr>
        <w:t>skaźniki produktu</w:t>
      </w:r>
      <w:r w:rsidRPr="008A09D1">
        <w:rPr>
          <w:rFonts w:asciiTheme="minorHAnsi" w:hAnsiTheme="minorHAnsi" w:cs="Arial"/>
          <w:bCs/>
          <w:color w:val="000000"/>
        </w:rPr>
        <w:t xml:space="preserve"> są to wskaźniki powiązane bezpośrednio z wydatkami ponoszonymi w projekcie</w:t>
      </w:r>
      <w:r w:rsidRPr="008A09D1">
        <w:rPr>
          <w:rFonts w:asciiTheme="minorHAnsi" w:hAnsiTheme="minorHAnsi" w:cs="Arial"/>
          <w:color w:val="000000"/>
        </w:rPr>
        <w:t xml:space="preserve">, mierzone konkretnymi wielkościami. Liczone są w jednostkach fizycznych </w:t>
      </w:r>
      <w:r w:rsidR="0015486C">
        <w:rPr>
          <w:rFonts w:asciiTheme="minorHAnsi" w:hAnsiTheme="minorHAnsi" w:cs="Arial"/>
          <w:color w:val="000000"/>
        </w:rPr>
        <w:t xml:space="preserve">lub monetarnych. Wybrane </w:t>
      </w:r>
      <w:r w:rsidR="0015486C">
        <w:rPr>
          <w:rFonts w:asciiTheme="minorHAnsi" w:hAnsiTheme="minorHAnsi" w:cs="Arial"/>
          <w:color w:val="000000"/>
        </w:rPr>
        <w:lastRenderedPageBreak/>
        <w:t>przez W</w:t>
      </w:r>
      <w:r w:rsidRPr="008A09D1">
        <w:rPr>
          <w:rFonts w:asciiTheme="minorHAnsi" w:hAnsiTheme="minorHAnsi" w:cs="Arial"/>
          <w:color w:val="000000"/>
        </w:rPr>
        <w:t>nioskodawcę wskaźniki muszą być adekwatne do zakresu projektu oraz mają być powiązane z</w:t>
      </w:r>
      <w:r w:rsidR="00422DE9">
        <w:rPr>
          <w:rFonts w:asciiTheme="minorHAnsi" w:hAnsiTheme="minorHAnsi" w:cs="Arial"/>
          <w:color w:val="000000"/>
        </w:rPr>
        <w:t> </w:t>
      </w:r>
      <w:r w:rsidRPr="008A09D1">
        <w:rPr>
          <w:rFonts w:asciiTheme="minorHAnsi" w:hAnsiTheme="minorHAnsi" w:cs="Arial"/>
          <w:color w:val="000000"/>
        </w:rPr>
        <w:t>głównymi kategoriami wydatków w projekcie.</w:t>
      </w:r>
    </w:p>
    <w:p w:rsidR="008A09D1" w:rsidRDefault="008A09D1" w:rsidP="007650A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8A09D1" w:rsidRPr="008A09D1" w:rsidRDefault="008A09D1" w:rsidP="00B92427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8A09D1">
        <w:rPr>
          <w:rFonts w:asciiTheme="minorHAnsi" w:hAnsiTheme="minorHAnsi"/>
          <w:sz w:val="22"/>
          <w:szCs w:val="22"/>
        </w:rPr>
        <w:t xml:space="preserve">Dla każdego z wybranych wskaźników Wnioskodawca zobowiązany jest do wskazania </w:t>
      </w:r>
      <w:r w:rsidRPr="008A09D1">
        <w:rPr>
          <w:rFonts w:asciiTheme="minorHAnsi" w:hAnsiTheme="minorHAnsi"/>
          <w:i/>
          <w:sz w:val="22"/>
          <w:szCs w:val="22"/>
        </w:rPr>
        <w:t>„Jednostki miary”</w:t>
      </w:r>
      <w:r w:rsidRPr="008A09D1">
        <w:rPr>
          <w:rFonts w:asciiTheme="minorHAnsi" w:hAnsiTheme="minorHAnsi"/>
          <w:sz w:val="22"/>
          <w:szCs w:val="22"/>
        </w:rPr>
        <w:t xml:space="preserve">, </w:t>
      </w:r>
      <w:r w:rsidRPr="008A09D1">
        <w:rPr>
          <w:rFonts w:asciiTheme="minorHAnsi" w:hAnsiTheme="minorHAnsi"/>
          <w:i/>
          <w:sz w:val="22"/>
          <w:szCs w:val="22"/>
        </w:rPr>
        <w:t>„Wartości bazowej”</w:t>
      </w:r>
      <w:r w:rsidRPr="008A09D1">
        <w:rPr>
          <w:rFonts w:asciiTheme="minorHAnsi" w:hAnsiTheme="minorHAnsi"/>
          <w:sz w:val="22"/>
          <w:szCs w:val="22"/>
        </w:rPr>
        <w:t xml:space="preserve">, </w:t>
      </w:r>
      <w:r w:rsidRPr="008A09D1">
        <w:rPr>
          <w:rFonts w:asciiTheme="minorHAnsi" w:hAnsiTheme="minorHAnsi"/>
          <w:i/>
          <w:sz w:val="22"/>
          <w:szCs w:val="22"/>
        </w:rPr>
        <w:t>„Wartości docelowej wskaźnika”</w:t>
      </w:r>
      <w:r w:rsidRPr="008A09D1">
        <w:rPr>
          <w:rFonts w:asciiTheme="minorHAnsi" w:hAnsiTheme="minorHAnsi"/>
          <w:sz w:val="22"/>
          <w:szCs w:val="22"/>
        </w:rPr>
        <w:t xml:space="preserve">, a także </w:t>
      </w:r>
      <w:r w:rsidRPr="008A09D1">
        <w:rPr>
          <w:rFonts w:asciiTheme="minorHAnsi" w:hAnsiTheme="minorHAnsi"/>
          <w:i/>
          <w:sz w:val="22"/>
          <w:szCs w:val="22"/>
        </w:rPr>
        <w:t>„Źródła informacji o</w:t>
      </w:r>
      <w:r w:rsidR="007E025A">
        <w:rPr>
          <w:rFonts w:asciiTheme="minorHAnsi" w:hAnsiTheme="minorHAnsi"/>
          <w:i/>
          <w:sz w:val="22"/>
          <w:szCs w:val="22"/>
        </w:rPr>
        <w:t> </w:t>
      </w:r>
      <w:r w:rsidRPr="008A09D1">
        <w:rPr>
          <w:rFonts w:asciiTheme="minorHAnsi" w:hAnsiTheme="minorHAnsi"/>
          <w:i/>
          <w:sz w:val="22"/>
          <w:szCs w:val="22"/>
        </w:rPr>
        <w:t>wskaźniku”</w:t>
      </w:r>
      <w:r w:rsidRPr="008A09D1">
        <w:rPr>
          <w:rFonts w:asciiTheme="minorHAnsi" w:hAnsiTheme="minorHAnsi"/>
          <w:sz w:val="22"/>
          <w:szCs w:val="22"/>
        </w:rPr>
        <w:t xml:space="preserve">. </w:t>
      </w:r>
    </w:p>
    <w:p w:rsidR="008A09D1" w:rsidRPr="008A09D1" w:rsidRDefault="008A09D1" w:rsidP="00B92427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8A09D1">
        <w:rPr>
          <w:rFonts w:asciiTheme="minorHAnsi" w:hAnsiTheme="minorHAnsi"/>
          <w:sz w:val="22"/>
          <w:szCs w:val="22"/>
        </w:rPr>
        <w:t xml:space="preserve">Wartość docelowa dla wskaźnika produktu to wyrażony liczbowo stan danego wskaźnika na moment zakończenia rzeczowej realizacji projektu. </w:t>
      </w:r>
    </w:p>
    <w:p w:rsidR="008A09D1" w:rsidRPr="008A09D1" w:rsidRDefault="008A09D1" w:rsidP="007650AC">
      <w:pPr>
        <w:pStyle w:val="Default"/>
        <w:jc w:val="both"/>
        <w:rPr>
          <w:rFonts w:asciiTheme="minorHAnsi" w:hAnsiTheme="minorHAnsi"/>
          <w:sz w:val="22"/>
          <w:szCs w:val="22"/>
          <w:highlight w:val="yellow"/>
        </w:rPr>
      </w:pPr>
      <w:r w:rsidRPr="008A09D1">
        <w:rPr>
          <w:rFonts w:asciiTheme="minorHAnsi" w:hAnsiTheme="minorHAnsi"/>
          <w:sz w:val="22"/>
          <w:szCs w:val="22"/>
        </w:rPr>
        <w:t>Jako źródło informacji o wskaźniku wskazać należy odpowiedni dokument (np. protokół odbioru</w:t>
      </w:r>
      <w:r w:rsidR="007E025A">
        <w:rPr>
          <w:rFonts w:asciiTheme="minorHAnsi" w:hAnsiTheme="minorHAnsi"/>
          <w:sz w:val="22"/>
          <w:szCs w:val="22"/>
        </w:rPr>
        <w:t xml:space="preserve"> robót</w:t>
      </w:r>
      <w:r w:rsidRPr="008A09D1">
        <w:rPr>
          <w:rFonts w:asciiTheme="minorHAnsi" w:hAnsiTheme="minorHAnsi"/>
          <w:sz w:val="22"/>
          <w:szCs w:val="22"/>
        </w:rPr>
        <w:t>).</w:t>
      </w:r>
      <w:r w:rsidRPr="008A09D1">
        <w:rPr>
          <w:rFonts w:asciiTheme="minorHAnsi" w:hAnsiTheme="minorHAnsi"/>
          <w:sz w:val="22"/>
          <w:szCs w:val="22"/>
          <w:highlight w:val="yellow"/>
        </w:rPr>
        <w:t xml:space="preserve"> </w:t>
      </w:r>
    </w:p>
    <w:p w:rsidR="008C495E" w:rsidRPr="00DC184F" w:rsidRDefault="005506E5" w:rsidP="00DC184F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W ramach D</w:t>
      </w:r>
      <w:r w:rsidR="008C495E" w:rsidRPr="00DC184F">
        <w:rPr>
          <w:rFonts w:asciiTheme="minorHAnsi" w:hAnsiTheme="minorHAnsi"/>
          <w:b/>
          <w:szCs w:val="22"/>
        </w:rPr>
        <w:t xml:space="preserve">ziałania </w:t>
      </w:r>
      <w:r w:rsidR="00422DE9">
        <w:rPr>
          <w:rFonts w:asciiTheme="minorHAnsi" w:hAnsiTheme="minorHAnsi"/>
          <w:b/>
          <w:szCs w:val="22"/>
        </w:rPr>
        <w:t>6.1</w:t>
      </w:r>
      <w:r w:rsidR="008C495E" w:rsidRPr="00DC184F">
        <w:rPr>
          <w:rFonts w:asciiTheme="minorHAnsi" w:hAnsiTheme="minorHAnsi"/>
          <w:b/>
          <w:szCs w:val="22"/>
        </w:rPr>
        <w:t xml:space="preserve"> </w:t>
      </w:r>
      <w:r w:rsidR="005A1857" w:rsidRPr="00DC184F">
        <w:rPr>
          <w:rFonts w:asciiTheme="minorHAnsi" w:hAnsiTheme="minorHAnsi"/>
          <w:b/>
          <w:szCs w:val="22"/>
        </w:rPr>
        <w:t>w przypadku projektów</w:t>
      </w:r>
      <w:r w:rsidR="00A92980">
        <w:rPr>
          <w:rFonts w:asciiTheme="minorHAnsi" w:hAnsiTheme="minorHAnsi"/>
          <w:b/>
          <w:szCs w:val="22"/>
        </w:rPr>
        <w:t xml:space="preserve"> (typu C) </w:t>
      </w:r>
      <w:r w:rsidR="005A1857" w:rsidRPr="00DC184F">
        <w:rPr>
          <w:rFonts w:asciiTheme="minorHAnsi" w:hAnsiTheme="minorHAnsi"/>
          <w:b/>
          <w:szCs w:val="22"/>
        </w:rPr>
        <w:t xml:space="preserve"> dotycząc</w:t>
      </w:r>
      <w:r w:rsidR="000F2F7C" w:rsidRPr="00DC184F">
        <w:rPr>
          <w:rFonts w:asciiTheme="minorHAnsi" w:hAnsiTheme="minorHAnsi"/>
          <w:b/>
          <w:szCs w:val="22"/>
        </w:rPr>
        <w:t xml:space="preserve">ych </w:t>
      </w:r>
      <w:r>
        <w:rPr>
          <w:rFonts w:asciiTheme="minorHAnsi" w:hAnsiTheme="minorHAnsi"/>
          <w:b/>
          <w:szCs w:val="22"/>
        </w:rPr>
        <w:t>budowy</w:t>
      </w:r>
      <w:r w:rsidRPr="005506E5">
        <w:rPr>
          <w:rFonts w:asciiTheme="minorHAnsi" w:hAnsiTheme="minorHAnsi"/>
          <w:b/>
          <w:szCs w:val="22"/>
        </w:rPr>
        <w:t>, remont</w:t>
      </w:r>
      <w:r>
        <w:rPr>
          <w:rFonts w:asciiTheme="minorHAnsi" w:hAnsiTheme="minorHAnsi"/>
          <w:b/>
          <w:szCs w:val="22"/>
        </w:rPr>
        <w:t>u, przebudowy</w:t>
      </w:r>
      <w:r w:rsidRPr="005506E5">
        <w:rPr>
          <w:rFonts w:asciiTheme="minorHAnsi" w:hAnsiTheme="minorHAnsi"/>
          <w:b/>
          <w:szCs w:val="22"/>
        </w:rPr>
        <w:t>, rozbudow</w:t>
      </w:r>
      <w:r>
        <w:rPr>
          <w:rFonts w:asciiTheme="minorHAnsi" w:hAnsiTheme="minorHAnsi"/>
          <w:b/>
          <w:szCs w:val="22"/>
        </w:rPr>
        <w:t>y</w:t>
      </w:r>
      <w:r w:rsidRPr="005506E5">
        <w:rPr>
          <w:rFonts w:asciiTheme="minorHAnsi" w:hAnsiTheme="minorHAnsi"/>
          <w:b/>
          <w:szCs w:val="22"/>
        </w:rPr>
        <w:t>, wyposażeni</w:t>
      </w:r>
      <w:r>
        <w:rPr>
          <w:rFonts w:asciiTheme="minorHAnsi" w:hAnsiTheme="minorHAnsi"/>
          <w:b/>
          <w:szCs w:val="22"/>
        </w:rPr>
        <w:t>a, modernizacji oraz adaptacji</w:t>
      </w:r>
      <w:r w:rsidRPr="005506E5">
        <w:rPr>
          <w:rFonts w:asciiTheme="minorHAnsi" w:hAnsiTheme="minorHAnsi"/>
          <w:b/>
          <w:szCs w:val="22"/>
        </w:rPr>
        <w:t xml:space="preserve"> infrastruktury prowadzonej przez podmioty opieki nad dziećmi do 3 roku ży</w:t>
      </w:r>
      <w:r>
        <w:rPr>
          <w:rFonts w:asciiTheme="minorHAnsi" w:hAnsiTheme="minorHAnsi"/>
          <w:b/>
          <w:szCs w:val="22"/>
        </w:rPr>
        <w:t xml:space="preserve">cia (np. żłobki, kluby malucha), </w:t>
      </w:r>
      <w:r w:rsidR="008C495E" w:rsidRPr="00DC184F">
        <w:rPr>
          <w:rFonts w:asciiTheme="minorHAnsi" w:hAnsiTheme="minorHAnsi"/>
          <w:b/>
          <w:szCs w:val="22"/>
        </w:rPr>
        <w:t>określono poniższe wskaźniki produktu</w:t>
      </w:r>
      <w:r>
        <w:rPr>
          <w:rFonts w:asciiTheme="minorHAnsi" w:hAnsiTheme="minorHAnsi"/>
          <w:b/>
          <w:szCs w:val="22"/>
        </w:rPr>
        <w:t xml:space="preserve"> (dla projektów typu C)</w:t>
      </w:r>
      <w:r w:rsidR="008C495E" w:rsidRPr="00DC184F">
        <w:rPr>
          <w:rFonts w:asciiTheme="minorHAnsi" w:hAnsiTheme="minorHAnsi"/>
          <w:b/>
          <w:szCs w:val="22"/>
        </w:rPr>
        <w:t>:</w:t>
      </w:r>
    </w:p>
    <w:tbl>
      <w:tblPr>
        <w:tblW w:w="5035" w:type="pct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/>
      </w:tblPr>
      <w:tblGrid>
        <w:gridCol w:w="2409"/>
        <w:gridCol w:w="1134"/>
        <w:gridCol w:w="4396"/>
        <w:gridCol w:w="1414"/>
      </w:tblGrid>
      <w:tr w:rsidR="00370466" w:rsidRPr="00911273" w:rsidTr="00CB645C">
        <w:trPr>
          <w:cantSplit/>
          <w:trHeight w:val="20"/>
          <w:jc w:val="center"/>
        </w:trPr>
        <w:tc>
          <w:tcPr>
            <w:tcW w:w="1288" w:type="pct"/>
            <w:shd w:val="clear" w:color="auto" w:fill="auto"/>
            <w:vAlign w:val="center"/>
          </w:tcPr>
          <w:p w:rsidR="005657D8" w:rsidRPr="00911273" w:rsidRDefault="005657D8" w:rsidP="00B92427">
            <w:pPr>
              <w:spacing w:before="0" w:line="240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911273">
              <w:rPr>
                <w:rFonts w:asciiTheme="minorHAnsi" w:hAnsiTheme="minorHAnsi"/>
                <w:b/>
                <w:szCs w:val="22"/>
              </w:rPr>
              <w:t>Nazwa wskaźnika produktu</w:t>
            </w:r>
          </w:p>
        </w:tc>
        <w:tc>
          <w:tcPr>
            <w:tcW w:w="606" w:type="pct"/>
            <w:vAlign w:val="center"/>
          </w:tcPr>
          <w:p w:rsidR="005657D8" w:rsidRPr="00911273" w:rsidRDefault="005657D8" w:rsidP="00B92427">
            <w:pPr>
              <w:suppressAutoHyphens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911273">
              <w:rPr>
                <w:rFonts w:asciiTheme="minorHAnsi" w:hAnsiTheme="minorHAnsi"/>
                <w:b/>
                <w:bCs/>
                <w:szCs w:val="22"/>
              </w:rPr>
              <w:t>Jednostka miary</w:t>
            </w:r>
          </w:p>
        </w:tc>
        <w:tc>
          <w:tcPr>
            <w:tcW w:w="2350" w:type="pct"/>
            <w:shd w:val="clear" w:color="auto" w:fill="auto"/>
            <w:vAlign w:val="center"/>
          </w:tcPr>
          <w:p w:rsidR="005657D8" w:rsidRPr="00911273" w:rsidRDefault="005657D8" w:rsidP="00B92427">
            <w:pPr>
              <w:suppressAutoHyphens/>
              <w:spacing w:before="0" w:line="240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911273">
              <w:rPr>
                <w:rFonts w:asciiTheme="minorHAnsi" w:hAnsiTheme="minorHAnsi"/>
                <w:b/>
                <w:bCs/>
                <w:szCs w:val="22"/>
              </w:rPr>
              <w:t>Definicja wskaźnika</w:t>
            </w:r>
          </w:p>
        </w:tc>
        <w:tc>
          <w:tcPr>
            <w:tcW w:w="756" w:type="pct"/>
            <w:vAlign w:val="center"/>
          </w:tcPr>
          <w:p w:rsidR="005657D8" w:rsidRPr="00911273" w:rsidRDefault="005657D8" w:rsidP="00B92427">
            <w:pPr>
              <w:suppressAutoHyphens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Cs w:val="22"/>
              </w:rPr>
              <w:t>Rodzaj dokumentu, w</w:t>
            </w:r>
            <w:r w:rsidR="007E025A">
              <w:rPr>
                <w:rFonts w:asciiTheme="minorHAnsi" w:hAnsiTheme="minorHAnsi"/>
                <w:b/>
                <w:bCs/>
                <w:szCs w:val="22"/>
              </w:rPr>
              <w:t> </w:t>
            </w:r>
            <w:r>
              <w:rPr>
                <w:rFonts w:asciiTheme="minorHAnsi" w:hAnsiTheme="minorHAnsi"/>
                <w:b/>
                <w:bCs/>
                <w:szCs w:val="22"/>
              </w:rPr>
              <w:t>którym określono wskaźnik</w:t>
            </w:r>
          </w:p>
        </w:tc>
      </w:tr>
      <w:tr w:rsidR="00370466" w:rsidRPr="00911273" w:rsidTr="00CB645C">
        <w:trPr>
          <w:cantSplit/>
          <w:trHeight w:val="20"/>
          <w:jc w:val="center"/>
        </w:trPr>
        <w:tc>
          <w:tcPr>
            <w:tcW w:w="1288" w:type="pct"/>
            <w:shd w:val="clear" w:color="auto" w:fill="auto"/>
            <w:vAlign w:val="center"/>
          </w:tcPr>
          <w:p w:rsidR="003517C9" w:rsidRPr="00CB645C" w:rsidRDefault="003517C9" w:rsidP="00B92427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  <w:r w:rsidRPr="00CB645C">
              <w:rPr>
                <w:rFonts w:ascii="Calibri" w:eastAsiaTheme="minorHAnsi" w:hAnsi="Calibri" w:cs="Calibri"/>
                <w:szCs w:val="22"/>
                <w:lang w:eastAsia="en-US"/>
              </w:rPr>
              <w:t>Opieka nad dziećmi i</w:t>
            </w:r>
          </w:p>
          <w:p w:rsidR="00946665" w:rsidRDefault="003517C9" w:rsidP="00B92427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CB645C">
              <w:rPr>
                <w:rFonts w:ascii="Calibri" w:eastAsiaTheme="minorHAnsi" w:hAnsi="Calibri" w:cs="Calibri"/>
                <w:szCs w:val="22"/>
                <w:lang w:eastAsia="en-US"/>
              </w:rPr>
              <w:t xml:space="preserve">edukacja: </w:t>
            </w:r>
            <w:r w:rsidR="005A1857" w:rsidRPr="00CB645C">
              <w:rPr>
                <w:rFonts w:asciiTheme="minorHAnsi" w:hAnsiTheme="minorHAnsi"/>
                <w:szCs w:val="22"/>
              </w:rPr>
              <w:t>Liczba</w:t>
            </w:r>
            <w:r w:rsidR="005A1857" w:rsidRPr="005A1857">
              <w:rPr>
                <w:rFonts w:asciiTheme="minorHAnsi" w:hAnsiTheme="minorHAnsi"/>
                <w:szCs w:val="22"/>
              </w:rPr>
              <w:t xml:space="preserve"> miejsc w objętej wsparciem infrastrukturze w zakresie opieki nad dziećmi lub infrastrukturze edukacyjnej (CI 35)</w:t>
            </w:r>
          </w:p>
          <w:p w:rsidR="005506E5" w:rsidRDefault="005506E5" w:rsidP="00B92427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Cs w:val="22"/>
                <w:u w:val="single"/>
              </w:rPr>
            </w:pPr>
          </w:p>
          <w:p w:rsidR="00946665" w:rsidRPr="00946665" w:rsidRDefault="00946665" w:rsidP="00B92427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Cs w:val="22"/>
                <w:u w:val="single"/>
              </w:rPr>
            </w:pPr>
            <w:r w:rsidRPr="00946665">
              <w:rPr>
                <w:rFonts w:asciiTheme="minorHAnsi" w:hAnsiTheme="minorHAnsi"/>
                <w:b/>
                <w:szCs w:val="22"/>
                <w:u w:val="single"/>
              </w:rPr>
              <w:t>WAŻNA</w:t>
            </w:r>
          </w:p>
          <w:p w:rsidR="00946665" w:rsidRPr="00946665" w:rsidRDefault="00946665" w:rsidP="00B92427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Cs w:val="22"/>
                <w:u w:val="single"/>
              </w:rPr>
            </w:pPr>
            <w:r w:rsidRPr="00946665">
              <w:rPr>
                <w:rFonts w:asciiTheme="minorHAnsi" w:hAnsiTheme="minorHAnsi"/>
                <w:b/>
                <w:szCs w:val="22"/>
                <w:u w:val="single"/>
              </w:rPr>
              <w:t>INFORMACJA:</w:t>
            </w:r>
          </w:p>
          <w:p w:rsidR="00946665" w:rsidRPr="00946665" w:rsidRDefault="00946665" w:rsidP="00B92427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W generatorze wniosków o dofinansowanie ten wskaźnik figuruje pod nazwą „</w:t>
            </w:r>
            <w:r w:rsidRPr="00946665">
              <w:rPr>
                <w:rFonts w:asciiTheme="minorHAnsi" w:hAnsiTheme="minorHAnsi"/>
                <w:szCs w:val="22"/>
              </w:rPr>
              <w:t>Potencjał objętej wsparciem infrastruktury w zakresie opieki nad dziećmi lub</w:t>
            </w:r>
          </w:p>
          <w:p w:rsidR="005657D8" w:rsidRDefault="00946665" w:rsidP="00B92427">
            <w:pPr>
              <w:spacing w:before="60" w:after="6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946665">
              <w:rPr>
                <w:rFonts w:asciiTheme="minorHAnsi" w:hAnsiTheme="minorHAnsi"/>
                <w:szCs w:val="22"/>
              </w:rPr>
              <w:t>infrastruktury edukacyjnej [osoby] (CI 35)</w:t>
            </w:r>
            <w:r>
              <w:rPr>
                <w:rFonts w:asciiTheme="minorHAnsi" w:hAnsiTheme="minorHAnsi"/>
                <w:szCs w:val="22"/>
              </w:rPr>
              <w:t>”</w:t>
            </w:r>
          </w:p>
          <w:p w:rsidR="003517C9" w:rsidRPr="00911273" w:rsidRDefault="003517C9" w:rsidP="00B92427">
            <w:pPr>
              <w:spacing w:before="60" w:after="6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606" w:type="pct"/>
            <w:vAlign w:val="center"/>
          </w:tcPr>
          <w:p w:rsidR="005657D8" w:rsidRPr="00911273" w:rsidRDefault="0061737E" w:rsidP="00CB645C">
            <w:pPr>
              <w:spacing w:before="0" w:line="240" w:lineRule="auto"/>
              <w:jc w:val="center"/>
              <w:rPr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osob</w:t>
            </w:r>
            <w:bookmarkStart w:id="3" w:name="_GoBack"/>
            <w:bookmarkEnd w:id="3"/>
            <w:r>
              <w:rPr>
                <w:rFonts w:asciiTheme="minorHAnsi" w:hAnsiTheme="minorHAnsi"/>
                <w:szCs w:val="22"/>
              </w:rPr>
              <w:t>y</w:t>
            </w:r>
          </w:p>
        </w:tc>
        <w:tc>
          <w:tcPr>
            <w:tcW w:w="2350" w:type="pct"/>
            <w:shd w:val="clear" w:color="auto" w:fill="auto"/>
            <w:vAlign w:val="center"/>
          </w:tcPr>
          <w:p w:rsidR="00C9174F" w:rsidRPr="00AA6B29" w:rsidRDefault="00C9174F" w:rsidP="00B92427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 w:rsidRPr="00AA6B29">
              <w:rPr>
                <w:rFonts w:asciiTheme="minorHAnsi" w:eastAsiaTheme="minorHAnsi" w:hAnsiTheme="minorHAnsi" w:cs="Arial"/>
                <w:szCs w:val="22"/>
                <w:lang w:eastAsia="en-US"/>
              </w:rPr>
              <w:t xml:space="preserve">Liczba użytkowników, którzy mogą korzystać z nowo wybudowanej lub udoskonalonej (przebudowanej, rozbudowanej, zaadaptowanej) infrastruktury </w:t>
            </w:r>
            <w:r w:rsidR="001437C9" w:rsidRPr="00AA6B29">
              <w:rPr>
                <w:rFonts w:asciiTheme="minorHAnsi" w:eastAsiaTheme="minorHAnsi" w:hAnsiTheme="minorHAnsi" w:cs="Arial"/>
                <w:szCs w:val="22"/>
                <w:lang w:eastAsia="en-US"/>
              </w:rPr>
              <w:t xml:space="preserve">opieki nad dziećmi lub </w:t>
            </w:r>
            <w:r w:rsidRPr="00AA6B29">
              <w:rPr>
                <w:rFonts w:asciiTheme="minorHAnsi" w:eastAsiaTheme="minorHAnsi" w:hAnsiTheme="minorHAnsi" w:cs="Arial"/>
                <w:szCs w:val="22"/>
                <w:lang w:eastAsia="en-US"/>
              </w:rPr>
              <w:t>edukacyjnej.</w:t>
            </w:r>
          </w:p>
          <w:p w:rsidR="003517C9" w:rsidRPr="00AA6B29" w:rsidRDefault="003517C9" w:rsidP="00B92427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  <w:p w:rsidR="00C9174F" w:rsidRPr="00AA6B29" w:rsidRDefault="00C9174F" w:rsidP="00B92427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 w:rsidRPr="00AA6B29">
              <w:rPr>
                <w:rFonts w:asciiTheme="minorHAnsi" w:eastAsiaTheme="minorHAnsi" w:hAnsiTheme="minorHAnsi" w:cs="Arial"/>
                <w:szCs w:val="22"/>
                <w:lang w:eastAsia="en-US"/>
              </w:rPr>
              <w:t xml:space="preserve">Przez użytkowników, w tym kontekście należy rozumieć dzieci, uczniów lub studentów, nie należy uwzględniać nauczycieli, rodziców lub inne osoby, które mogą także korzystać z usprawnionej </w:t>
            </w:r>
            <w:r w:rsidR="001437C9" w:rsidRPr="00AA6B29">
              <w:rPr>
                <w:rFonts w:asciiTheme="minorHAnsi" w:eastAsiaTheme="minorHAnsi" w:hAnsiTheme="minorHAnsi" w:cs="Arial"/>
                <w:szCs w:val="22"/>
                <w:lang w:eastAsia="en-US"/>
              </w:rPr>
              <w:t>infrastruktury.</w:t>
            </w:r>
          </w:p>
          <w:p w:rsidR="003517C9" w:rsidRPr="00AA6B29" w:rsidRDefault="003517C9" w:rsidP="00B92427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  <w:p w:rsidR="001437C9" w:rsidRPr="00AA6B29" w:rsidRDefault="001437C9" w:rsidP="00B92427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 w:rsidRPr="00AA6B29">
              <w:rPr>
                <w:rFonts w:asciiTheme="minorHAnsi" w:eastAsiaTheme="minorHAnsi" w:hAnsiTheme="minorHAnsi" w:cs="Arial"/>
                <w:szCs w:val="22"/>
                <w:lang w:eastAsia="en-US"/>
              </w:rPr>
              <w:t>Wskaźnik mierzy nominalną wydajność (np. liczbę potencjalnych użytkowników, która jest zwykle wyższa lub równa liczbie rzeczywistych użytkowników).</w:t>
            </w:r>
          </w:p>
          <w:p w:rsidR="001437C9" w:rsidRPr="00AA6B29" w:rsidRDefault="001437C9" w:rsidP="00B92427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 w:rsidRPr="00AA6B29">
              <w:rPr>
                <w:rFonts w:asciiTheme="minorHAnsi" w:eastAsiaTheme="minorHAnsi" w:hAnsiTheme="minorHAnsi" w:cs="Arial"/>
                <w:szCs w:val="22"/>
                <w:lang w:eastAsia="en-US"/>
              </w:rPr>
              <w:t>Wskaźnik dotyczy nowych lub udoskonalonych budynków, lub nowego doposażenia w ramach projektu.</w:t>
            </w:r>
          </w:p>
          <w:p w:rsidR="00C9174F" w:rsidRPr="00AA6B29" w:rsidRDefault="00C9174F" w:rsidP="00B92427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  <w:p w:rsidR="00C9174F" w:rsidRPr="00AA6B29" w:rsidRDefault="00C9174F" w:rsidP="00B92427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Theme="minorHAnsi" w:eastAsiaTheme="minorHAnsi" w:hAnsiTheme="minorHAnsi" w:cs="Arial"/>
                <w:szCs w:val="22"/>
                <w:lang w:val="en-029" w:eastAsia="en-US"/>
              </w:rPr>
            </w:pPr>
            <w:r w:rsidRPr="00AA6B29">
              <w:rPr>
                <w:rFonts w:asciiTheme="minorHAnsi" w:eastAsiaTheme="minorHAnsi" w:hAnsiTheme="minorHAnsi" w:cs="Arial"/>
                <w:szCs w:val="22"/>
                <w:lang w:val="en-029" w:eastAsia="en-US"/>
              </w:rPr>
              <w:t xml:space="preserve">Number of users who can use newly built or improved </w:t>
            </w:r>
            <w:proofErr w:type="spellStart"/>
            <w:r w:rsidR="001437C9" w:rsidRPr="00AA6B29">
              <w:rPr>
                <w:rFonts w:asciiTheme="minorHAnsi" w:eastAsiaTheme="minorHAnsi" w:hAnsiTheme="minorHAnsi" w:cs="Arial"/>
                <w:szCs w:val="22"/>
                <w:lang w:val="en-029" w:eastAsia="en-US"/>
              </w:rPr>
              <w:t>chidcare</w:t>
            </w:r>
            <w:proofErr w:type="spellEnd"/>
            <w:r w:rsidR="001437C9" w:rsidRPr="00AA6B29">
              <w:rPr>
                <w:rFonts w:asciiTheme="minorHAnsi" w:eastAsiaTheme="minorHAnsi" w:hAnsiTheme="minorHAnsi" w:cs="Arial"/>
                <w:szCs w:val="22"/>
                <w:lang w:val="en-029" w:eastAsia="en-US"/>
              </w:rPr>
              <w:t xml:space="preserve"> or </w:t>
            </w:r>
            <w:r w:rsidRPr="00AA6B29">
              <w:rPr>
                <w:rFonts w:asciiTheme="minorHAnsi" w:eastAsiaTheme="minorHAnsi" w:hAnsiTheme="minorHAnsi" w:cs="Arial"/>
                <w:szCs w:val="22"/>
                <w:lang w:val="en-029" w:eastAsia="en-US"/>
              </w:rPr>
              <w:t xml:space="preserve">education facilities. „Users” in this context mean the children, pupils, or students, not teachers, parents or other persons who may use the </w:t>
            </w:r>
            <w:proofErr w:type="spellStart"/>
            <w:r w:rsidRPr="00AA6B29">
              <w:rPr>
                <w:rFonts w:asciiTheme="minorHAnsi" w:eastAsiaTheme="minorHAnsi" w:hAnsiTheme="minorHAnsi" w:cs="Arial"/>
                <w:szCs w:val="22"/>
                <w:lang w:val="en-029" w:eastAsia="en-US"/>
              </w:rPr>
              <w:t>facikities</w:t>
            </w:r>
            <w:proofErr w:type="spellEnd"/>
            <w:r w:rsidRPr="00AA6B29">
              <w:rPr>
                <w:rFonts w:asciiTheme="minorHAnsi" w:eastAsiaTheme="minorHAnsi" w:hAnsiTheme="minorHAnsi" w:cs="Arial"/>
                <w:szCs w:val="22"/>
                <w:lang w:val="en-029" w:eastAsia="en-US"/>
              </w:rPr>
              <w:t xml:space="preserve"> too.</w:t>
            </w:r>
          </w:p>
          <w:p w:rsidR="00C9174F" w:rsidRPr="00AA6B29" w:rsidRDefault="00C9174F" w:rsidP="00B92427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Theme="minorHAnsi" w:eastAsiaTheme="minorHAnsi" w:hAnsiTheme="minorHAnsi" w:cs="Arial"/>
                <w:szCs w:val="22"/>
                <w:lang w:val="en-029" w:eastAsia="en-US"/>
              </w:rPr>
            </w:pPr>
            <w:r w:rsidRPr="00AA6B29">
              <w:rPr>
                <w:rFonts w:asciiTheme="minorHAnsi" w:eastAsiaTheme="minorHAnsi" w:hAnsiTheme="minorHAnsi" w:cs="Arial"/>
                <w:szCs w:val="22"/>
                <w:lang w:val="en-029" w:eastAsia="en-US"/>
              </w:rPr>
              <w:t xml:space="preserve">It includes new or </w:t>
            </w:r>
            <w:proofErr w:type="spellStart"/>
            <w:r w:rsidRPr="00AA6B29">
              <w:rPr>
                <w:rFonts w:asciiTheme="minorHAnsi" w:eastAsiaTheme="minorHAnsi" w:hAnsiTheme="minorHAnsi" w:cs="Arial"/>
                <w:szCs w:val="22"/>
                <w:lang w:val="en-029" w:eastAsia="en-US"/>
              </w:rPr>
              <w:t>omproved</w:t>
            </w:r>
            <w:proofErr w:type="spellEnd"/>
            <w:r w:rsidRPr="00AA6B29">
              <w:rPr>
                <w:rFonts w:asciiTheme="minorHAnsi" w:eastAsiaTheme="minorHAnsi" w:hAnsiTheme="minorHAnsi" w:cs="Arial"/>
                <w:szCs w:val="22"/>
                <w:lang w:val="en-029" w:eastAsia="en-US"/>
              </w:rPr>
              <w:t xml:space="preserve"> buildings, or new equipment provided by the project. It measures nominal capacity (i.e. </w:t>
            </w:r>
            <w:proofErr w:type="spellStart"/>
            <w:r w:rsidRPr="00AA6B29">
              <w:rPr>
                <w:rFonts w:asciiTheme="minorHAnsi" w:eastAsiaTheme="minorHAnsi" w:hAnsiTheme="minorHAnsi" w:cs="Arial"/>
                <w:szCs w:val="22"/>
                <w:lang w:val="en-029" w:eastAsia="en-US"/>
              </w:rPr>
              <w:t>numer</w:t>
            </w:r>
            <w:proofErr w:type="spellEnd"/>
            <w:r w:rsidRPr="00AA6B29">
              <w:rPr>
                <w:rFonts w:asciiTheme="minorHAnsi" w:eastAsiaTheme="minorHAnsi" w:hAnsiTheme="minorHAnsi" w:cs="Arial"/>
                <w:szCs w:val="22"/>
                <w:lang w:val="en-029" w:eastAsia="en-US"/>
              </w:rPr>
              <w:t xml:space="preserve"> of possible users which is usually higher than or equal to the number of actual users)</w:t>
            </w:r>
          </w:p>
        </w:tc>
        <w:tc>
          <w:tcPr>
            <w:tcW w:w="756" w:type="pct"/>
            <w:vAlign w:val="center"/>
          </w:tcPr>
          <w:p w:rsidR="00DA2DDC" w:rsidRDefault="008A09D1" w:rsidP="00B92427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RPO </w:t>
            </w:r>
            <w:r w:rsidR="00DA2DDC">
              <w:rPr>
                <w:rFonts w:asciiTheme="minorHAnsi" w:hAnsiTheme="minorHAnsi"/>
                <w:szCs w:val="22"/>
              </w:rPr>
              <w:t>WD</w:t>
            </w:r>
          </w:p>
          <w:p w:rsidR="005657D8" w:rsidRPr="00911273" w:rsidRDefault="00DA2DDC" w:rsidP="00B92427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2014-</w:t>
            </w:r>
            <w:r w:rsidR="00002E70">
              <w:rPr>
                <w:rFonts w:asciiTheme="minorHAnsi" w:hAnsiTheme="minorHAnsi"/>
                <w:szCs w:val="22"/>
              </w:rPr>
              <w:t>2020</w:t>
            </w:r>
          </w:p>
        </w:tc>
      </w:tr>
      <w:tr w:rsidR="009609F6" w:rsidRPr="00911273" w:rsidTr="00CB645C">
        <w:trPr>
          <w:trHeight w:val="20"/>
          <w:jc w:val="center"/>
        </w:trPr>
        <w:tc>
          <w:tcPr>
            <w:tcW w:w="1288" w:type="pct"/>
            <w:shd w:val="clear" w:color="auto" w:fill="auto"/>
            <w:vAlign w:val="center"/>
          </w:tcPr>
          <w:p w:rsidR="009609F6" w:rsidRPr="00911273" w:rsidRDefault="00572667" w:rsidP="00B92427">
            <w:pPr>
              <w:spacing w:before="60" w:after="6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572667">
              <w:rPr>
                <w:rFonts w:asciiTheme="minorHAnsi" w:hAnsiTheme="minorHAnsi"/>
                <w:szCs w:val="22"/>
              </w:rPr>
              <w:lastRenderedPageBreak/>
              <w:t xml:space="preserve">Liczba </w:t>
            </w:r>
            <w:r w:rsidR="00DA2DDC">
              <w:rPr>
                <w:rFonts w:asciiTheme="minorHAnsi" w:hAnsiTheme="minorHAnsi"/>
                <w:szCs w:val="22"/>
              </w:rPr>
              <w:t>utworzonych</w:t>
            </w:r>
            <w:r w:rsidRPr="00572667">
              <w:rPr>
                <w:rFonts w:asciiTheme="minorHAnsi" w:hAnsiTheme="minorHAnsi"/>
                <w:szCs w:val="22"/>
              </w:rPr>
              <w:t xml:space="preserve"> obiektów </w:t>
            </w:r>
            <w:r w:rsidR="00DA2DDC">
              <w:rPr>
                <w:rFonts w:asciiTheme="minorHAnsi" w:hAnsiTheme="minorHAnsi"/>
                <w:szCs w:val="22"/>
              </w:rPr>
              <w:t>opieki nad dziećmi do 3 roku życia</w:t>
            </w:r>
          </w:p>
        </w:tc>
        <w:tc>
          <w:tcPr>
            <w:tcW w:w="606" w:type="pct"/>
            <w:vAlign w:val="center"/>
          </w:tcPr>
          <w:p w:rsidR="009609F6" w:rsidRPr="00911273" w:rsidRDefault="009609F6" w:rsidP="00B92427">
            <w:pPr>
              <w:spacing w:line="240" w:lineRule="auto"/>
              <w:jc w:val="center"/>
              <w:rPr>
                <w:szCs w:val="22"/>
              </w:rPr>
            </w:pPr>
            <w:r w:rsidRPr="00911273">
              <w:rPr>
                <w:rFonts w:asciiTheme="minorHAnsi" w:hAnsiTheme="minorHAnsi"/>
                <w:szCs w:val="22"/>
              </w:rPr>
              <w:t>szt.</w:t>
            </w:r>
          </w:p>
        </w:tc>
        <w:tc>
          <w:tcPr>
            <w:tcW w:w="2350" w:type="pct"/>
            <w:shd w:val="clear" w:color="auto" w:fill="auto"/>
            <w:vAlign w:val="center"/>
          </w:tcPr>
          <w:p w:rsidR="009609F6" w:rsidRPr="00AA6B29" w:rsidRDefault="00262292" w:rsidP="00AA6B29">
            <w:pPr>
              <w:spacing w:line="240" w:lineRule="auto"/>
              <w:jc w:val="both"/>
              <w:rPr>
                <w:rFonts w:asciiTheme="minorHAnsi" w:hAnsiTheme="minorHAnsi"/>
                <w:szCs w:val="22"/>
              </w:rPr>
            </w:pPr>
            <w:r w:rsidRPr="00AA6B29">
              <w:rPr>
                <w:rFonts w:asciiTheme="minorHAnsi" w:hAnsiTheme="minorHAnsi"/>
                <w:szCs w:val="22"/>
              </w:rPr>
              <w:t>Liczba wybudowanych</w:t>
            </w:r>
            <w:r>
              <w:rPr>
                <w:rFonts w:asciiTheme="minorHAnsi" w:hAnsiTheme="minorHAnsi"/>
                <w:szCs w:val="22"/>
              </w:rPr>
              <w:t xml:space="preserve"> bądź</w:t>
            </w:r>
            <w:r w:rsidRPr="00AA6B29">
              <w:rPr>
                <w:rFonts w:asciiTheme="minorHAnsi" w:hAnsiTheme="minorHAnsi"/>
                <w:szCs w:val="22"/>
              </w:rPr>
              <w:t xml:space="preserve"> zaadoptowanych budynków na potrzeby </w:t>
            </w:r>
            <w:r>
              <w:rPr>
                <w:rFonts w:asciiTheme="minorHAnsi" w:hAnsiTheme="minorHAnsi"/>
                <w:szCs w:val="22"/>
              </w:rPr>
              <w:t>opieki nad dziećmi do lat 3</w:t>
            </w:r>
            <w:r w:rsidRPr="00AA6B29">
              <w:rPr>
                <w:rFonts w:asciiTheme="minorHAnsi" w:hAnsiTheme="minorHAnsi"/>
                <w:szCs w:val="22"/>
              </w:rPr>
              <w:t>.</w:t>
            </w:r>
          </w:p>
        </w:tc>
        <w:tc>
          <w:tcPr>
            <w:tcW w:w="756" w:type="pct"/>
            <w:vAlign w:val="center"/>
          </w:tcPr>
          <w:p w:rsidR="009609F6" w:rsidRPr="00AA6B29" w:rsidRDefault="00DA2DDC" w:rsidP="00B92427">
            <w:pPr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AA6B29">
              <w:rPr>
                <w:rFonts w:asciiTheme="minorHAnsi" w:hAnsiTheme="minorHAnsi"/>
                <w:szCs w:val="22"/>
              </w:rPr>
              <w:t>SZOOP</w:t>
            </w:r>
            <w:r w:rsidR="00506413" w:rsidRPr="00AA6B29">
              <w:rPr>
                <w:rFonts w:asciiTheme="minorHAnsi" w:hAnsiTheme="minorHAnsi"/>
                <w:szCs w:val="22"/>
              </w:rPr>
              <w:t xml:space="preserve"> 2014-2020</w:t>
            </w:r>
          </w:p>
        </w:tc>
      </w:tr>
      <w:tr w:rsidR="00380861" w:rsidRPr="00911273" w:rsidTr="00CB645C">
        <w:trPr>
          <w:trHeight w:val="20"/>
          <w:jc w:val="center"/>
        </w:trPr>
        <w:tc>
          <w:tcPr>
            <w:tcW w:w="1288" w:type="pct"/>
            <w:shd w:val="clear" w:color="auto" w:fill="auto"/>
            <w:vAlign w:val="center"/>
          </w:tcPr>
          <w:p w:rsidR="00380861" w:rsidRPr="00AA6B29" w:rsidRDefault="00380861" w:rsidP="00B92427">
            <w:pPr>
              <w:spacing w:before="0" w:line="240" w:lineRule="auto"/>
              <w:jc w:val="center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AA6B29">
              <w:rPr>
                <w:rFonts w:asciiTheme="minorHAnsi" w:eastAsiaTheme="minorHAnsi" w:hAnsiTheme="minorHAnsi"/>
                <w:szCs w:val="22"/>
                <w:lang w:eastAsia="en-US"/>
              </w:rPr>
              <w:t>Liczba obiektów dostosowanych do potrzeb osób z niepełnosprawnościami</w:t>
            </w:r>
          </w:p>
        </w:tc>
        <w:tc>
          <w:tcPr>
            <w:tcW w:w="606" w:type="pct"/>
            <w:vAlign w:val="center"/>
          </w:tcPr>
          <w:p w:rsidR="00380861" w:rsidRPr="00AA6B29" w:rsidRDefault="00380861" w:rsidP="00B92427">
            <w:pPr>
              <w:spacing w:before="0" w:line="240" w:lineRule="auto"/>
              <w:jc w:val="center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AA6B29">
              <w:rPr>
                <w:rFonts w:asciiTheme="minorHAnsi" w:eastAsiaTheme="minorHAnsi" w:hAnsiTheme="minorHAnsi"/>
                <w:szCs w:val="22"/>
                <w:lang w:eastAsia="en-US"/>
              </w:rPr>
              <w:t>szt.</w:t>
            </w:r>
          </w:p>
        </w:tc>
        <w:tc>
          <w:tcPr>
            <w:tcW w:w="2350" w:type="pct"/>
            <w:shd w:val="clear" w:color="auto" w:fill="auto"/>
            <w:vAlign w:val="center"/>
          </w:tcPr>
          <w:p w:rsidR="00380861" w:rsidRPr="00AA6B29" w:rsidRDefault="00380861" w:rsidP="00B92427">
            <w:pPr>
              <w:spacing w:before="0" w:line="240" w:lineRule="auto"/>
              <w:jc w:val="both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AA6B29">
              <w:rPr>
                <w:rFonts w:asciiTheme="minorHAnsi" w:eastAsiaTheme="minorHAnsi" w:hAnsiTheme="minorHAnsi"/>
                <w:szCs w:val="22"/>
                <w:lang w:eastAsia="en-US"/>
              </w:rPr>
              <w:t>Wskaźnik odnosi się do liczby obiektów, które zaopatrzono w specjalne podjazdy, windy, urządzenia głośnomówiące, bądź inne udogodnienia (tj. usunięcie barier w dostępie, w szczególności barier architektonicznych) ułatwiające dostęp do tych obiektów i poruszanie się po nich osobom niepełnosprawnym ruchowo czy sensorycznie.</w:t>
            </w:r>
          </w:p>
          <w:p w:rsidR="00380861" w:rsidRPr="00AA6B29" w:rsidRDefault="00380861" w:rsidP="00B92427">
            <w:pPr>
              <w:spacing w:before="0" w:line="240" w:lineRule="auto"/>
              <w:jc w:val="both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AA6B29">
              <w:rPr>
                <w:rFonts w:asciiTheme="minorHAnsi" w:eastAsiaTheme="minorHAnsi" w:hAnsiTheme="minorHAnsi"/>
                <w:szCs w:val="22"/>
                <w:lang w:eastAsia="en-US"/>
              </w:rPr>
              <w:t>Jako obiekty budowlane należy rozumieć konstrukcje połączone z gruntem w sposób trwały, wykonane z materiałów budowlanych i elementów składowych, będące wynikiem prac budowlanych (</w:t>
            </w:r>
            <w:proofErr w:type="spellStart"/>
            <w:r w:rsidRPr="00AA6B29">
              <w:rPr>
                <w:rFonts w:asciiTheme="minorHAnsi" w:eastAsiaTheme="minorHAnsi" w:hAnsiTheme="minorHAnsi"/>
                <w:szCs w:val="22"/>
                <w:lang w:eastAsia="en-US"/>
              </w:rPr>
              <w:t>wg</w:t>
            </w:r>
            <w:proofErr w:type="spellEnd"/>
            <w:r w:rsidRPr="00AA6B29">
              <w:rPr>
                <w:rFonts w:asciiTheme="minorHAnsi" w:eastAsiaTheme="minorHAnsi" w:hAnsiTheme="minorHAnsi"/>
                <w:szCs w:val="22"/>
                <w:lang w:eastAsia="en-US"/>
              </w:rPr>
              <w:t xml:space="preserve">. </w:t>
            </w:r>
            <w:proofErr w:type="spellStart"/>
            <w:r w:rsidRPr="00AA6B29">
              <w:rPr>
                <w:rFonts w:asciiTheme="minorHAnsi" w:eastAsiaTheme="minorHAnsi" w:hAnsiTheme="minorHAnsi"/>
                <w:szCs w:val="22"/>
                <w:lang w:eastAsia="en-US"/>
              </w:rPr>
              <w:t>def</w:t>
            </w:r>
            <w:proofErr w:type="spellEnd"/>
            <w:r w:rsidRPr="00AA6B29">
              <w:rPr>
                <w:rFonts w:asciiTheme="minorHAnsi" w:eastAsiaTheme="minorHAnsi" w:hAnsiTheme="minorHAnsi"/>
                <w:szCs w:val="22"/>
                <w:lang w:eastAsia="en-US"/>
              </w:rPr>
              <w:t>. PKOB).</w:t>
            </w:r>
          </w:p>
          <w:p w:rsidR="00380861" w:rsidRPr="00AA6B29" w:rsidRDefault="00380861" w:rsidP="00B92427">
            <w:pPr>
              <w:spacing w:before="0" w:line="240" w:lineRule="auto"/>
              <w:jc w:val="both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AA6B29">
              <w:rPr>
                <w:rFonts w:asciiTheme="minorHAnsi" w:eastAsiaTheme="minorHAnsi" w:hAnsiTheme="minorHAnsi"/>
                <w:szCs w:val="22"/>
                <w:lang w:eastAsia="en-US"/>
              </w:rPr>
              <w:t>Należy podać liczbę obiektów, a nie sprzętów, urządzeń itp., w które obiekty zaopatrzono.</w:t>
            </w:r>
          </w:p>
          <w:p w:rsidR="00380861" w:rsidRPr="00AA6B29" w:rsidRDefault="00380861" w:rsidP="00B92427">
            <w:pPr>
              <w:spacing w:before="0" w:line="240" w:lineRule="auto"/>
              <w:jc w:val="both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AA6B29">
              <w:rPr>
                <w:rFonts w:asciiTheme="minorHAnsi" w:eastAsiaTheme="minorHAnsi" w:hAnsiTheme="minorHAnsi"/>
                <w:szCs w:val="22"/>
                <w:lang w:eastAsia="en-US"/>
              </w:rPr>
              <w:t>Jeśli instytucja, zakład itp. składa się z kilku obiektów, należy zliczyć wszystkie, które dostosowano do potrzeb osób niepełnosprawnych.</w:t>
            </w:r>
          </w:p>
        </w:tc>
        <w:tc>
          <w:tcPr>
            <w:tcW w:w="756" w:type="pct"/>
            <w:vAlign w:val="center"/>
          </w:tcPr>
          <w:p w:rsidR="00380861" w:rsidRPr="00AA6B29" w:rsidRDefault="000B05C7" w:rsidP="00B92427">
            <w:pPr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AA6B29">
              <w:rPr>
                <w:rFonts w:asciiTheme="minorHAnsi" w:hAnsiTheme="minorHAnsi"/>
                <w:szCs w:val="22"/>
              </w:rPr>
              <w:t>Horyzontalny</w:t>
            </w:r>
          </w:p>
        </w:tc>
      </w:tr>
      <w:tr w:rsidR="00380861" w:rsidRPr="00911273" w:rsidTr="00CB645C">
        <w:trPr>
          <w:trHeight w:val="3018"/>
          <w:jc w:val="center"/>
        </w:trPr>
        <w:tc>
          <w:tcPr>
            <w:tcW w:w="1288" w:type="pct"/>
            <w:shd w:val="clear" w:color="auto" w:fill="auto"/>
            <w:vAlign w:val="center"/>
          </w:tcPr>
          <w:p w:rsidR="00380861" w:rsidRPr="00AA6B29" w:rsidRDefault="00380861" w:rsidP="00B92427">
            <w:pPr>
              <w:spacing w:before="0" w:line="240" w:lineRule="auto"/>
              <w:jc w:val="center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AA6B29">
              <w:rPr>
                <w:rFonts w:asciiTheme="minorHAnsi" w:eastAsiaTheme="minorHAnsi" w:hAnsiTheme="minorHAnsi"/>
                <w:szCs w:val="22"/>
                <w:lang w:eastAsia="en-US"/>
              </w:rPr>
              <w:t>Liczba osób objętych szkoleniami / doradztwem w zakresie kompetencji cyfrowych O/K/M</w:t>
            </w:r>
          </w:p>
        </w:tc>
        <w:tc>
          <w:tcPr>
            <w:tcW w:w="606" w:type="pct"/>
            <w:vAlign w:val="center"/>
          </w:tcPr>
          <w:p w:rsidR="00380861" w:rsidRPr="00AA6B29" w:rsidRDefault="00380861" w:rsidP="00B92427">
            <w:pPr>
              <w:spacing w:before="0" w:line="240" w:lineRule="auto"/>
              <w:jc w:val="center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AA6B29">
              <w:rPr>
                <w:rFonts w:asciiTheme="minorHAnsi" w:eastAsiaTheme="minorHAnsi" w:hAnsiTheme="minorHAnsi"/>
                <w:szCs w:val="22"/>
                <w:lang w:eastAsia="en-US"/>
              </w:rPr>
              <w:t>os</w:t>
            </w:r>
            <w:r w:rsidR="00DA2DDC" w:rsidRPr="00AA6B29">
              <w:rPr>
                <w:rFonts w:asciiTheme="minorHAnsi" w:eastAsiaTheme="minorHAnsi" w:hAnsiTheme="minorHAnsi"/>
                <w:szCs w:val="22"/>
                <w:lang w:eastAsia="en-US"/>
              </w:rPr>
              <w:t>oby</w:t>
            </w:r>
          </w:p>
        </w:tc>
        <w:tc>
          <w:tcPr>
            <w:tcW w:w="2350" w:type="pct"/>
            <w:shd w:val="clear" w:color="auto" w:fill="auto"/>
            <w:vAlign w:val="center"/>
          </w:tcPr>
          <w:p w:rsidR="00380861" w:rsidRPr="00AA6B29" w:rsidRDefault="00380861" w:rsidP="00B92427">
            <w:pPr>
              <w:spacing w:before="0" w:line="240" w:lineRule="auto"/>
              <w:jc w:val="both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AA6B29">
              <w:rPr>
                <w:rFonts w:asciiTheme="minorHAnsi" w:eastAsiaTheme="minorHAnsi" w:hAnsiTheme="minorHAnsi"/>
                <w:szCs w:val="22"/>
                <w:lang w:eastAsia="en-US"/>
              </w:rPr>
              <w:t>Wskaźnik mierzy l</w:t>
            </w:r>
            <w:r w:rsidR="00DA2DDC" w:rsidRPr="00AA6B29">
              <w:rPr>
                <w:rFonts w:asciiTheme="minorHAnsi" w:eastAsiaTheme="minorHAnsi" w:hAnsiTheme="minorHAnsi"/>
                <w:szCs w:val="22"/>
                <w:lang w:eastAsia="en-US"/>
              </w:rPr>
              <w:t>iczbę osób objętych szkoleniami</w:t>
            </w:r>
            <w:r w:rsidRPr="00AA6B29">
              <w:rPr>
                <w:rFonts w:asciiTheme="minorHAnsi" w:eastAsiaTheme="minorHAnsi" w:hAnsiTheme="minorHAnsi"/>
                <w:szCs w:val="22"/>
                <w:lang w:eastAsia="en-US"/>
              </w:rPr>
              <w:t xml:space="preserve">/doradztwem w zakresie nabywania </w:t>
            </w:r>
            <w:r w:rsidR="00DA2DDC" w:rsidRPr="00AA6B29">
              <w:rPr>
                <w:rFonts w:asciiTheme="minorHAnsi" w:eastAsiaTheme="minorHAnsi" w:hAnsiTheme="minorHAnsi"/>
                <w:szCs w:val="22"/>
                <w:lang w:eastAsia="en-US"/>
              </w:rPr>
              <w:t>/</w:t>
            </w:r>
            <w:r w:rsidRPr="00AA6B29">
              <w:rPr>
                <w:rFonts w:asciiTheme="minorHAnsi" w:eastAsiaTheme="minorHAnsi" w:hAnsiTheme="minorHAnsi"/>
                <w:szCs w:val="22"/>
                <w:lang w:eastAsia="en-US"/>
              </w:rPr>
              <w:t xml:space="preserve">doskonalenia umiejętności warunkujących efektywne korzystanie z mediów elektronicznych tj. m.in. korzystania z komputera, różnych rodzajów oprogramowania, </w:t>
            </w:r>
            <w:proofErr w:type="spellStart"/>
            <w:r w:rsidRPr="00AA6B29">
              <w:rPr>
                <w:rFonts w:asciiTheme="minorHAnsi" w:eastAsiaTheme="minorHAnsi" w:hAnsiTheme="minorHAnsi"/>
                <w:szCs w:val="22"/>
                <w:lang w:eastAsia="en-US"/>
              </w:rPr>
              <w:t>internetu</w:t>
            </w:r>
            <w:proofErr w:type="spellEnd"/>
            <w:r w:rsidRPr="00AA6B29">
              <w:rPr>
                <w:rFonts w:asciiTheme="minorHAnsi" w:eastAsiaTheme="minorHAnsi" w:hAnsiTheme="minorHAnsi"/>
                <w:szCs w:val="22"/>
                <w:lang w:eastAsia="en-US"/>
              </w:rPr>
              <w:t xml:space="preserve"> oraz kompetencji ściśle informatycznych (np. programowanie, zarządzanie bazami danych, administracja sieciami, administracja witrynami internetowymi).</w:t>
            </w:r>
          </w:p>
        </w:tc>
        <w:tc>
          <w:tcPr>
            <w:tcW w:w="756" w:type="pct"/>
            <w:vAlign w:val="center"/>
          </w:tcPr>
          <w:p w:rsidR="00380861" w:rsidRPr="00AA6B29" w:rsidRDefault="000B05C7" w:rsidP="00B92427">
            <w:pPr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AA6B29">
              <w:rPr>
                <w:rFonts w:asciiTheme="minorHAnsi" w:hAnsiTheme="minorHAnsi"/>
                <w:szCs w:val="22"/>
              </w:rPr>
              <w:t>Horyzontalny</w:t>
            </w:r>
          </w:p>
        </w:tc>
      </w:tr>
      <w:tr w:rsidR="00380861" w:rsidRPr="00911273" w:rsidTr="00CB645C">
        <w:trPr>
          <w:trHeight w:val="20"/>
          <w:jc w:val="center"/>
        </w:trPr>
        <w:tc>
          <w:tcPr>
            <w:tcW w:w="1288" w:type="pct"/>
            <w:shd w:val="clear" w:color="auto" w:fill="auto"/>
            <w:vAlign w:val="center"/>
          </w:tcPr>
          <w:p w:rsidR="00380861" w:rsidRPr="00AA6B29" w:rsidRDefault="00380861" w:rsidP="00B92427">
            <w:pPr>
              <w:spacing w:before="0" w:line="240" w:lineRule="auto"/>
              <w:jc w:val="center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AA6B29">
              <w:rPr>
                <w:rFonts w:asciiTheme="minorHAnsi" w:eastAsiaTheme="minorHAnsi" w:hAnsiTheme="minorHAnsi" w:cs="Arial"/>
                <w:color w:val="000000"/>
                <w:szCs w:val="22"/>
                <w:lang w:eastAsia="en-US"/>
              </w:rPr>
              <w:t>Liczba projektów, w których sfinansowano koszty racjonalnych usprawnień dla osób z niepełnosprawnościami</w:t>
            </w:r>
          </w:p>
        </w:tc>
        <w:tc>
          <w:tcPr>
            <w:tcW w:w="606" w:type="pct"/>
            <w:vAlign w:val="center"/>
          </w:tcPr>
          <w:p w:rsidR="00380861" w:rsidRPr="00AA6B29" w:rsidRDefault="00380861" w:rsidP="00B92427">
            <w:pPr>
              <w:spacing w:before="0" w:line="240" w:lineRule="auto"/>
              <w:jc w:val="center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AA6B29">
              <w:rPr>
                <w:rFonts w:asciiTheme="minorHAnsi" w:eastAsiaTheme="minorHAnsi" w:hAnsiTheme="minorHAnsi"/>
                <w:szCs w:val="22"/>
                <w:lang w:eastAsia="en-US"/>
              </w:rPr>
              <w:t>szt.</w:t>
            </w:r>
          </w:p>
        </w:tc>
        <w:tc>
          <w:tcPr>
            <w:tcW w:w="2350" w:type="pct"/>
            <w:shd w:val="clear" w:color="auto" w:fill="auto"/>
            <w:vAlign w:val="center"/>
          </w:tcPr>
          <w:p w:rsidR="00380861" w:rsidRPr="00AA6B29" w:rsidRDefault="00380861" w:rsidP="00B92427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Theme="minorHAnsi" w:eastAsiaTheme="minorHAnsi" w:hAnsiTheme="minorHAnsi" w:cs="Arial"/>
                <w:color w:val="000000"/>
                <w:szCs w:val="22"/>
                <w:lang w:eastAsia="en-US"/>
              </w:rPr>
            </w:pPr>
            <w:r w:rsidRPr="00AA6B29">
              <w:rPr>
                <w:rFonts w:asciiTheme="minorHAnsi" w:eastAsiaTheme="minorHAnsi" w:hAnsiTheme="minorHAnsi" w:cs="Arial"/>
                <w:color w:val="000000"/>
                <w:szCs w:val="22"/>
                <w:lang w:eastAsia="en-US"/>
              </w:rPr>
              <w:t>Racjonalne usprawnienie oznacza konieczne i odpowiednie zmiany oraz dostosowania, nie nakładające nieproporcjonalnego lub nadmiernego obciążenia, rozpatrywane osobno dla każdego konkretnego przypadku, w celu zapewnienia osobom z niepełnosprawnościami możliwości korzystania z wszelkich praw człowieka i podstawowych wolności oraz ich wykonywania na zasadzie równości z innymi osobami. Wskaźnik mierzony w momencie rozliczenia wydatku związanego z racjonalnymi usprawnieniami.</w:t>
            </w:r>
          </w:p>
          <w:p w:rsidR="00380861" w:rsidRPr="00AA6B29" w:rsidRDefault="00380861" w:rsidP="00B92427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Theme="minorHAnsi" w:eastAsiaTheme="minorHAnsi" w:hAnsiTheme="minorHAnsi" w:cs="Arial"/>
                <w:color w:val="000000"/>
                <w:szCs w:val="22"/>
                <w:lang w:eastAsia="en-US"/>
              </w:rPr>
            </w:pPr>
            <w:r w:rsidRPr="00AA6B29">
              <w:rPr>
                <w:rFonts w:asciiTheme="minorHAnsi" w:eastAsiaTheme="minorHAnsi" w:hAnsiTheme="minorHAnsi" w:cs="Arial"/>
                <w:color w:val="000000"/>
                <w:szCs w:val="22"/>
                <w:lang w:eastAsia="en-US"/>
              </w:rPr>
              <w:t xml:space="preserve">Przykłady racjonalnych usprawnień: tłumacz języka migowego, transport niskopodłogowy, dostosowanie infrastruktury (nie tylko budynku ale też dostosowanie infrastruktury </w:t>
            </w:r>
            <w:r w:rsidRPr="00AA6B29">
              <w:rPr>
                <w:rFonts w:asciiTheme="minorHAnsi" w:eastAsiaTheme="minorHAnsi" w:hAnsiTheme="minorHAnsi" w:cs="Arial"/>
                <w:color w:val="000000"/>
                <w:szCs w:val="22"/>
                <w:lang w:eastAsia="en-US"/>
              </w:rPr>
              <w:lastRenderedPageBreak/>
              <w:t>komputerowej np. programy powiększające, mówiące, drukarki materiałów w alfabecie Braille'a), osoby asystujące, odpowiednie dostosowanie wyżywienia.</w:t>
            </w:r>
          </w:p>
          <w:p w:rsidR="00380861" w:rsidRPr="00AA6B29" w:rsidRDefault="00380861" w:rsidP="00B92427">
            <w:pPr>
              <w:spacing w:before="0" w:line="240" w:lineRule="auto"/>
              <w:jc w:val="both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AA6B29">
              <w:rPr>
                <w:rFonts w:asciiTheme="minorHAnsi" w:eastAsiaTheme="minorHAnsi" w:hAnsiTheme="minorHAnsi" w:cs="Arial"/>
                <w:color w:val="000000"/>
                <w:szCs w:val="22"/>
                <w:lang w:eastAsia="en-US"/>
              </w:rPr>
              <w:t xml:space="preserve">Definicja na podstawie </w:t>
            </w:r>
            <w:r w:rsidRPr="00AA6B29">
              <w:rPr>
                <w:rFonts w:asciiTheme="minorHAnsi" w:eastAsiaTheme="minorHAnsi" w:hAnsiTheme="minorHAnsi" w:cs="Arial"/>
                <w:i/>
                <w:iCs/>
                <w:color w:val="000000"/>
                <w:szCs w:val="22"/>
                <w:lang w:eastAsia="en-US"/>
              </w:rPr>
              <w:t xml:space="preserve">Wytycznych w zakresie realizacji zasady równości szans i niedyskryminacji, w tym dostępności dla osób z niepełnosprawnościami oraz równości szans kobiet i mężczyzn w ramach </w:t>
            </w:r>
            <w:proofErr w:type="spellStart"/>
            <w:r w:rsidRPr="00AA6B29">
              <w:rPr>
                <w:rFonts w:asciiTheme="minorHAnsi" w:eastAsiaTheme="minorHAnsi" w:hAnsiTheme="minorHAnsi" w:cs="Arial"/>
                <w:i/>
                <w:iCs/>
                <w:color w:val="000000"/>
                <w:szCs w:val="22"/>
                <w:lang w:eastAsia="en-US"/>
              </w:rPr>
              <w:t>funduszy</w:t>
            </w:r>
            <w:proofErr w:type="spellEnd"/>
            <w:r w:rsidRPr="00AA6B29">
              <w:rPr>
                <w:rFonts w:asciiTheme="minorHAnsi" w:eastAsiaTheme="minorHAnsi" w:hAnsiTheme="minorHAnsi" w:cs="Arial"/>
                <w:i/>
                <w:iCs/>
                <w:color w:val="000000"/>
                <w:szCs w:val="22"/>
                <w:lang w:eastAsia="en-US"/>
              </w:rPr>
              <w:t xml:space="preserve"> unijnych na lata 2014-2020</w:t>
            </w:r>
            <w:r w:rsidRPr="00AA6B29">
              <w:rPr>
                <w:rFonts w:asciiTheme="minorHAnsi" w:eastAsiaTheme="minorHAnsi" w:hAnsiTheme="minorHAnsi" w:cs="Arial"/>
                <w:color w:val="000000"/>
                <w:szCs w:val="22"/>
                <w:lang w:eastAsia="en-US"/>
              </w:rPr>
              <w:t>.</w:t>
            </w:r>
          </w:p>
        </w:tc>
        <w:tc>
          <w:tcPr>
            <w:tcW w:w="756" w:type="pct"/>
            <w:vAlign w:val="center"/>
          </w:tcPr>
          <w:p w:rsidR="00380861" w:rsidRPr="0061737E" w:rsidRDefault="000B05C7" w:rsidP="00B92427">
            <w:pPr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0B05C7">
              <w:rPr>
                <w:rFonts w:asciiTheme="minorHAnsi" w:hAnsiTheme="minorHAnsi"/>
                <w:szCs w:val="22"/>
              </w:rPr>
              <w:lastRenderedPageBreak/>
              <w:t>Horyzontalny</w:t>
            </w:r>
          </w:p>
        </w:tc>
      </w:tr>
    </w:tbl>
    <w:p w:rsidR="0080321F" w:rsidRDefault="0080321F" w:rsidP="0080321F">
      <w:pPr>
        <w:spacing w:line="240" w:lineRule="auto"/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lastRenderedPageBreak/>
        <w:t>Zgodnie z załącznikiem nr 2 „Lista Wskaźników do wykonania celów pośrednich oraz końcowych” do Porozumienia nr DEF-Z/986/15 z dnia 9 czerwca 2015 zawartego pomiędzy Województwem Dolnośląskim a Gminą Wrocław pełniąca funkcję Instytucji Pośredniczącej, wskaźniki produktu weryfikowane na etapie oceny zgodności ze Strategią ZIT WrOF są tożsame z wyżej wskazanymi tj.:</w:t>
      </w:r>
    </w:p>
    <w:p w:rsidR="0080321F" w:rsidRDefault="0080321F" w:rsidP="000B41ED">
      <w:pPr>
        <w:spacing w:after="120" w:line="240" w:lineRule="auto"/>
        <w:jc w:val="both"/>
        <w:rPr>
          <w:rFonts w:ascii="Calibri" w:eastAsia="Calibri" w:hAnsi="Calibri" w:cs="Tahoma"/>
          <w:kern w:val="2"/>
        </w:rPr>
      </w:pPr>
      <w:r>
        <w:rPr>
          <w:rFonts w:ascii="Calibri" w:eastAsia="Calibri" w:hAnsi="Calibri" w:cs="Tahoma"/>
          <w:kern w:val="2"/>
        </w:rPr>
        <w:t>Liczba miejsc w objętej wsparciem infrastrukturze w zakresie opieki nad dziećmi lub infrastrukturze edukacyjnej</w:t>
      </w:r>
      <w:r w:rsidR="000B41ED">
        <w:rPr>
          <w:rFonts w:ascii="Calibri" w:eastAsia="Calibri" w:hAnsi="Calibri" w:cs="Tahoma"/>
          <w:kern w:val="2"/>
        </w:rPr>
        <w:t>.</w:t>
      </w:r>
    </w:p>
    <w:p w:rsidR="003D3BC5" w:rsidRDefault="008C495E" w:rsidP="000B41ED">
      <w:pPr>
        <w:spacing w:before="240" w:line="240" w:lineRule="auto"/>
        <w:jc w:val="both"/>
        <w:rPr>
          <w:rFonts w:asciiTheme="minorHAnsi" w:hAnsiTheme="minorHAnsi" w:cs="Arial"/>
          <w:szCs w:val="22"/>
        </w:rPr>
      </w:pPr>
      <w:r w:rsidRPr="00911273">
        <w:rPr>
          <w:rFonts w:asciiTheme="minorHAnsi" w:hAnsiTheme="minorHAnsi"/>
          <w:b/>
          <w:szCs w:val="22"/>
        </w:rPr>
        <w:t>Wskaźniki rezultatu bezpośredniego</w:t>
      </w:r>
      <w:r w:rsidR="007300ED">
        <w:rPr>
          <w:rFonts w:asciiTheme="minorHAnsi" w:hAnsiTheme="minorHAnsi"/>
          <w:szCs w:val="22"/>
        </w:rPr>
        <w:t xml:space="preserve"> są to </w:t>
      </w:r>
      <w:r w:rsidR="003D3BC5" w:rsidRPr="00911273">
        <w:rPr>
          <w:rFonts w:asciiTheme="minorHAnsi" w:hAnsiTheme="minorHAnsi"/>
          <w:szCs w:val="22"/>
        </w:rPr>
        <w:t>w</w:t>
      </w:r>
      <w:r w:rsidR="003D3BC5" w:rsidRPr="00911273">
        <w:rPr>
          <w:rFonts w:asciiTheme="minorHAnsi" w:hAnsiTheme="minorHAnsi" w:cs="Arial"/>
          <w:szCs w:val="22"/>
        </w:rPr>
        <w:t>ska</w:t>
      </w:r>
      <w:r w:rsidR="003D3BC5" w:rsidRPr="003D3BC5">
        <w:rPr>
          <w:rFonts w:asciiTheme="minorHAnsi" w:hAnsiTheme="minorHAnsi" w:cs="Arial"/>
          <w:szCs w:val="22"/>
        </w:rPr>
        <w:t>źniki odnoszące się</w:t>
      </w:r>
      <w:r w:rsidR="0015486C">
        <w:rPr>
          <w:rFonts w:asciiTheme="minorHAnsi" w:hAnsiTheme="minorHAnsi" w:cs="Arial"/>
          <w:szCs w:val="22"/>
        </w:rPr>
        <w:t xml:space="preserve"> </w:t>
      </w:r>
      <w:r w:rsidR="003D3BC5" w:rsidRPr="003D3BC5">
        <w:rPr>
          <w:rFonts w:asciiTheme="minorHAnsi" w:hAnsiTheme="minorHAnsi" w:cs="Arial"/>
          <w:szCs w:val="22"/>
        </w:rPr>
        <w:t xml:space="preserve">do bezpośrednich efektów projektu, </w:t>
      </w:r>
      <w:r w:rsidR="008E3F0D">
        <w:rPr>
          <w:rFonts w:asciiTheme="minorHAnsi" w:hAnsiTheme="minorHAnsi" w:cs="Arial"/>
          <w:szCs w:val="22"/>
        </w:rPr>
        <w:t xml:space="preserve">stanowią </w:t>
      </w:r>
      <w:r w:rsidR="003D3BC5" w:rsidRPr="003D3BC5">
        <w:rPr>
          <w:rFonts w:asciiTheme="minorHAnsi" w:hAnsiTheme="minorHAnsi" w:cs="Arial"/>
          <w:szCs w:val="22"/>
        </w:rPr>
        <w:t>wynik</w:t>
      </w:r>
      <w:r w:rsidR="008E3F0D">
        <w:rPr>
          <w:rFonts w:asciiTheme="minorHAnsi" w:hAnsiTheme="minorHAnsi" w:cs="Arial"/>
          <w:szCs w:val="22"/>
        </w:rPr>
        <w:t xml:space="preserve"> realizacji</w:t>
      </w:r>
      <w:r w:rsidR="003D3BC5" w:rsidRPr="003D3BC5">
        <w:rPr>
          <w:rFonts w:asciiTheme="minorHAnsi" w:hAnsiTheme="minorHAnsi" w:cs="Arial"/>
          <w:szCs w:val="22"/>
        </w:rPr>
        <w:t xml:space="preserve"> projektu, ale mogą</w:t>
      </w:r>
      <w:r w:rsidR="003D3BC5" w:rsidRPr="00911273">
        <w:rPr>
          <w:rFonts w:asciiTheme="minorHAnsi" w:hAnsiTheme="minorHAnsi" w:cs="Arial"/>
          <w:szCs w:val="22"/>
        </w:rPr>
        <w:t xml:space="preserve"> </w:t>
      </w:r>
      <w:r w:rsidR="003D3BC5" w:rsidRPr="003D3BC5">
        <w:rPr>
          <w:rFonts w:asciiTheme="minorHAnsi" w:hAnsiTheme="minorHAnsi" w:cs="Arial"/>
          <w:szCs w:val="22"/>
        </w:rPr>
        <w:t>mieć</w:t>
      </w:r>
      <w:r w:rsidR="003D3BC5" w:rsidRPr="00911273">
        <w:rPr>
          <w:rFonts w:asciiTheme="minorHAnsi" w:hAnsiTheme="minorHAnsi" w:cs="Arial"/>
          <w:szCs w:val="22"/>
        </w:rPr>
        <w:t xml:space="preserve"> </w:t>
      </w:r>
      <w:r w:rsidR="003D3BC5" w:rsidRPr="003D3BC5">
        <w:rPr>
          <w:rFonts w:asciiTheme="minorHAnsi" w:hAnsiTheme="minorHAnsi" w:cs="Arial"/>
          <w:szCs w:val="22"/>
        </w:rPr>
        <w:t>na ni</w:t>
      </w:r>
      <w:r w:rsidR="008E3F0D">
        <w:rPr>
          <w:rFonts w:asciiTheme="minorHAnsi" w:hAnsiTheme="minorHAnsi" w:cs="Arial"/>
          <w:szCs w:val="22"/>
        </w:rPr>
        <w:t>ego</w:t>
      </w:r>
      <w:r w:rsidR="003D3BC5" w:rsidRPr="00911273">
        <w:rPr>
          <w:rFonts w:asciiTheme="minorHAnsi" w:hAnsiTheme="minorHAnsi" w:cs="Arial"/>
          <w:szCs w:val="22"/>
        </w:rPr>
        <w:t xml:space="preserve"> </w:t>
      </w:r>
      <w:r w:rsidR="003D3BC5" w:rsidRPr="003D3BC5">
        <w:rPr>
          <w:rFonts w:asciiTheme="minorHAnsi" w:hAnsiTheme="minorHAnsi" w:cs="Arial"/>
          <w:szCs w:val="22"/>
        </w:rPr>
        <w:t xml:space="preserve">wpływ także inne zewnętrzne czynniki; niepowiązane bezpośrednio z wydatkami ponoszonymi w projekcie. </w:t>
      </w:r>
      <w:r w:rsidR="007300ED">
        <w:rPr>
          <w:rFonts w:asciiTheme="minorHAnsi" w:hAnsiTheme="minorHAnsi" w:cs="Arial"/>
          <w:szCs w:val="22"/>
        </w:rPr>
        <w:t>Dostarczają informacji o zmianach jakie nastąpiły w wyniku realizacji projektu, w</w:t>
      </w:r>
      <w:r w:rsidR="00141571">
        <w:rPr>
          <w:rFonts w:asciiTheme="minorHAnsi" w:hAnsiTheme="minorHAnsi" w:cs="Arial"/>
          <w:szCs w:val="22"/>
        </w:rPr>
        <w:t> </w:t>
      </w:r>
      <w:r w:rsidR="007300ED">
        <w:rPr>
          <w:rFonts w:asciiTheme="minorHAnsi" w:hAnsiTheme="minorHAnsi" w:cs="Arial"/>
          <w:szCs w:val="22"/>
        </w:rPr>
        <w:t xml:space="preserve">porównaniu z wielkością wyjściową (bazową). Są logicznie powiązane ze wskaźnikami produktu. </w:t>
      </w:r>
      <w:r w:rsidR="000F5C98">
        <w:rPr>
          <w:rFonts w:asciiTheme="minorHAnsi" w:hAnsiTheme="minorHAnsi" w:cs="Arial"/>
          <w:szCs w:val="22"/>
        </w:rPr>
        <w:t xml:space="preserve"> Muszą być adekwatne do celu projektu.</w:t>
      </w:r>
    </w:p>
    <w:p w:rsidR="000F5C98" w:rsidRDefault="000F5C98" w:rsidP="007650AC">
      <w:pPr>
        <w:pStyle w:val="Default"/>
        <w:jc w:val="both"/>
        <w:rPr>
          <w:sz w:val="22"/>
          <w:szCs w:val="22"/>
        </w:rPr>
      </w:pPr>
    </w:p>
    <w:p w:rsidR="000F5C98" w:rsidRPr="000F5C98" w:rsidRDefault="000F5C98" w:rsidP="00B92427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0F5C98">
        <w:rPr>
          <w:rFonts w:asciiTheme="minorHAnsi" w:hAnsiTheme="minorHAnsi"/>
          <w:sz w:val="22"/>
          <w:szCs w:val="22"/>
        </w:rPr>
        <w:t xml:space="preserve">Dla każdego z wybranych wskaźników Wnioskodawca zobowiązany jest do wskazania </w:t>
      </w:r>
      <w:r w:rsidRPr="000F5C98">
        <w:rPr>
          <w:rFonts w:asciiTheme="minorHAnsi" w:hAnsiTheme="minorHAnsi"/>
          <w:i/>
          <w:sz w:val="22"/>
          <w:szCs w:val="22"/>
        </w:rPr>
        <w:t>„Jednostki miary”</w:t>
      </w:r>
      <w:r w:rsidRPr="000F5C98">
        <w:rPr>
          <w:rFonts w:asciiTheme="minorHAnsi" w:hAnsiTheme="minorHAnsi"/>
          <w:sz w:val="22"/>
          <w:szCs w:val="22"/>
        </w:rPr>
        <w:t xml:space="preserve">, </w:t>
      </w:r>
      <w:r w:rsidRPr="000F5C98">
        <w:rPr>
          <w:rFonts w:asciiTheme="minorHAnsi" w:hAnsiTheme="minorHAnsi"/>
          <w:i/>
          <w:sz w:val="22"/>
          <w:szCs w:val="22"/>
        </w:rPr>
        <w:t>„Wartości bazowej”</w:t>
      </w:r>
      <w:r w:rsidRPr="000F5C98">
        <w:rPr>
          <w:rFonts w:asciiTheme="minorHAnsi" w:hAnsiTheme="minorHAnsi"/>
          <w:sz w:val="22"/>
          <w:szCs w:val="22"/>
        </w:rPr>
        <w:t xml:space="preserve">, </w:t>
      </w:r>
      <w:r w:rsidRPr="000F5C98">
        <w:rPr>
          <w:rFonts w:asciiTheme="minorHAnsi" w:hAnsiTheme="minorHAnsi"/>
          <w:i/>
          <w:sz w:val="22"/>
          <w:szCs w:val="22"/>
        </w:rPr>
        <w:t>„Wartości docelowej wskaźnika”</w:t>
      </w:r>
      <w:r w:rsidRPr="000F5C98">
        <w:rPr>
          <w:rFonts w:asciiTheme="minorHAnsi" w:hAnsiTheme="minorHAnsi"/>
          <w:sz w:val="22"/>
          <w:szCs w:val="22"/>
        </w:rPr>
        <w:t xml:space="preserve">, a także </w:t>
      </w:r>
      <w:r w:rsidR="00141571">
        <w:rPr>
          <w:rFonts w:asciiTheme="minorHAnsi" w:hAnsiTheme="minorHAnsi"/>
          <w:i/>
          <w:sz w:val="22"/>
          <w:szCs w:val="22"/>
        </w:rPr>
        <w:t>„Źródła informacji o </w:t>
      </w:r>
      <w:r w:rsidRPr="000F5C98">
        <w:rPr>
          <w:rFonts w:asciiTheme="minorHAnsi" w:hAnsiTheme="minorHAnsi"/>
          <w:i/>
          <w:sz w:val="22"/>
          <w:szCs w:val="22"/>
        </w:rPr>
        <w:t>wskaźniku”</w:t>
      </w:r>
      <w:r w:rsidRPr="000F5C98">
        <w:rPr>
          <w:rFonts w:asciiTheme="minorHAnsi" w:hAnsiTheme="minorHAnsi"/>
          <w:sz w:val="22"/>
          <w:szCs w:val="22"/>
        </w:rPr>
        <w:t xml:space="preserve">. </w:t>
      </w:r>
    </w:p>
    <w:p w:rsidR="000F5C98" w:rsidRPr="000F5C98" w:rsidRDefault="000F5C98" w:rsidP="00B92427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0F5C98">
        <w:rPr>
          <w:rFonts w:asciiTheme="minorHAnsi" w:hAnsiTheme="minorHAnsi"/>
          <w:sz w:val="22"/>
          <w:szCs w:val="22"/>
        </w:rPr>
        <w:t>Wartość docelowa dla wskaźnika rezultatu to wyrażony liczbowo stan danego wskaźnika uzyskany w</w:t>
      </w:r>
      <w:r w:rsidR="00141571">
        <w:rPr>
          <w:rFonts w:asciiTheme="minorHAnsi" w:hAnsiTheme="minorHAnsi"/>
          <w:sz w:val="22"/>
          <w:szCs w:val="22"/>
        </w:rPr>
        <w:t> </w:t>
      </w:r>
      <w:r w:rsidR="00B92427">
        <w:rPr>
          <w:rFonts w:asciiTheme="minorHAnsi" w:hAnsiTheme="minorHAnsi"/>
          <w:sz w:val="22"/>
          <w:szCs w:val="22"/>
        </w:rPr>
        <w:t>efekcie realizacji projektu.</w:t>
      </w:r>
    </w:p>
    <w:p w:rsidR="007300ED" w:rsidRDefault="000F5C98" w:rsidP="00485CDD">
      <w:pPr>
        <w:autoSpaceDE w:val="0"/>
        <w:autoSpaceDN w:val="0"/>
        <w:adjustRightInd w:val="0"/>
        <w:spacing w:before="0" w:line="240" w:lineRule="auto"/>
        <w:jc w:val="both"/>
        <w:rPr>
          <w:rFonts w:asciiTheme="minorHAnsi" w:hAnsiTheme="minorHAnsi"/>
        </w:rPr>
      </w:pPr>
      <w:r w:rsidRPr="000F5C98">
        <w:rPr>
          <w:rFonts w:asciiTheme="minorHAnsi" w:hAnsiTheme="minorHAnsi"/>
        </w:rPr>
        <w:t>Jako źródło informacji o wskaźniku wskazać należy odpowiedni dokument (np.</w:t>
      </w:r>
      <w:r w:rsidR="00726AC4" w:rsidRPr="00726AC4">
        <w:t xml:space="preserve"> </w:t>
      </w:r>
      <w:r w:rsidR="00726AC4" w:rsidRPr="00726AC4">
        <w:rPr>
          <w:rFonts w:asciiTheme="minorHAnsi" w:hAnsiTheme="minorHAnsi"/>
        </w:rPr>
        <w:t xml:space="preserve">ewidencja </w:t>
      </w:r>
      <w:r w:rsidR="001437C9">
        <w:rPr>
          <w:rFonts w:asciiTheme="minorHAnsi" w:hAnsiTheme="minorHAnsi"/>
        </w:rPr>
        <w:t xml:space="preserve">uczniów, </w:t>
      </w:r>
      <w:r w:rsidR="00726AC4" w:rsidRPr="00726AC4">
        <w:rPr>
          <w:rFonts w:asciiTheme="minorHAnsi" w:hAnsiTheme="minorHAnsi"/>
        </w:rPr>
        <w:t>zatrudnienia</w:t>
      </w:r>
      <w:r w:rsidRPr="000F5C98">
        <w:rPr>
          <w:rFonts w:asciiTheme="minorHAnsi" w:hAnsiTheme="minorHAnsi"/>
        </w:rPr>
        <w:t>).</w:t>
      </w:r>
    </w:p>
    <w:p w:rsidR="008554A8" w:rsidRPr="00DC184F" w:rsidRDefault="00B92427" w:rsidP="008554A8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  <w:b/>
          <w:szCs w:val="22"/>
        </w:rPr>
      </w:pPr>
      <w:r w:rsidRPr="00B92427">
        <w:rPr>
          <w:rFonts w:asciiTheme="minorHAnsi" w:hAnsiTheme="minorHAnsi"/>
          <w:b/>
          <w:szCs w:val="22"/>
        </w:rPr>
        <w:t xml:space="preserve">W ramach Działania 6.1 w przypadku projektów </w:t>
      </w:r>
      <w:r w:rsidR="00A92980">
        <w:rPr>
          <w:rFonts w:asciiTheme="minorHAnsi" w:hAnsiTheme="minorHAnsi"/>
          <w:b/>
          <w:szCs w:val="22"/>
        </w:rPr>
        <w:t xml:space="preserve">(typu C) </w:t>
      </w:r>
      <w:r w:rsidRPr="00B92427">
        <w:rPr>
          <w:rFonts w:asciiTheme="minorHAnsi" w:hAnsiTheme="minorHAnsi"/>
          <w:b/>
          <w:szCs w:val="22"/>
        </w:rPr>
        <w:t xml:space="preserve">dotyczących budowy, remontu, przebudowy, rozbudowy, wyposażenia, modernizacji oraz adaptacji infrastruktury prowadzonej przez podmioty opieki nad dziećmi do 3 roku życia (np. żłobki, kluby malucha), </w:t>
      </w:r>
      <w:r w:rsidRPr="00AA6B29">
        <w:rPr>
          <w:rFonts w:asciiTheme="minorHAnsi" w:hAnsiTheme="minorHAnsi"/>
          <w:b/>
          <w:szCs w:val="22"/>
          <w:u w:val="single"/>
        </w:rPr>
        <w:t>nie przewidziano wskaźników</w:t>
      </w:r>
      <w:r w:rsidR="00DC184F" w:rsidRPr="00AA6B29">
        <w:rPr>
          <w:rFonts w:asciiTheme="minorHAnsi" w:hAnsiTheme="minorHAnsi"/>
          <w:b/>
          <w:szCs w:val="22"/>
          <w:u w:val="single"/>
        </w:rPr>
        <w:t xml:space="preserve"> </w:t>
      </w:r>
      <w:r w:rsidR="00D57D29" w:rsidRPr="00AA6B29">
        <w:rPr>
          <w:rFonts w:asciiTheme="minorHAnsi" w:hAnsiTheme="minorHAnsi"/>
          <w:b/>
          <w:szCs w:val="22"/>
          <w:u w:val="single"/>
        </w:rPr>
        <w:t>rezultatu bezpośredniego</w:t>
      </w:r>
      <w:r>
        <w:rPr>
          <w:rFonts w:asciiTheme="minorHAnsi" w:hAnsiTheme="minorHAnsi"/>
          <w:b/>
          <w:szCs w:val="22"/>
        </w:rPr>
        <w:t>.</w:t>
      </w:r>
    </w:p>
    <w:p w:rsidR="00AA6B29" w:rsidRDefault="008C495E" w:rsidP="007650AC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  <w:r w:rsidRPr="00911273">
        <w:rPr>
          <w:rFonts w:asciiTheme="minorHAnsi" w:eastAsiaTheme="minorHAnsi" w:hAnsiTheme="minorHAnsi" w:cs="Arial"/>
          <w:szCs w:val="22"/>
          <w:lang w:eastAsia="en-US"/>
        </w:rPr>
        <w:t xml:space="preserve">W ramach wniosku o dofinansowanie Wnioskodawca ma obowiązek uwzględnić </w:t>
      </w:r>
      <w:r w:rsidRPr="00911273">
        <w:rPr>
          <w:rFonts w:asciiTheme="minorHAnsi" w:eastAsiaTheme="minorHAnsi" w:hAnsiTheme="minorHAnsi" w:cs="Arial"/>
          <w:b/>
          <w:szCs w:val="22"/>
          <w:lang w:eastAsia="en-US"/>
        </w:rPr>
        <w:t>wszystkie adekwatne</w:t>
      </w:r>
      <w:r w:rsidRPr="00911273">
        <w:rPr>
          <w:rFonts w:asciiTheme="minorHAnsi" w:eastAsiaTheme="minorHAnsi" w:hAnsiTheme="minorHAnsi" w:cs="Arial"/>
          <w:szCs w:val="22"/>
          <w:lang w:eastAsia="en-US"/>
        </w:rPr>
        <w:t xml:space="preserve"> wskaźniki produktu z listy przedstawionej </w:t>
      </w:r>
      <w:r w:rsidR="0044238B">
        <w:rPr>
          <w:rFonts w:asciiTheme="minorHAnsi" w:eastAsiaTheme="minorHAnsi" w:hAnsiTheme="minorHAnsi" w:cs="Arial"/>
          <w:szCs w:val="22"/>
          <w:lang w:eastAsia="en-US"/>
        </w:rPr>
        <w:t xml:space="preserve"> </w:t>
      </w:r>
      <w:r w:rsidRPr="00911273">
        <w:rPr>
          <w:rFonts w:asciiTheme="minorHAnsi" w:eastAsiaTheme="minorHAnsi" w:hAnsiTheme="minorHAnsi" w:cs="Arial"/>
          <w:szCs w:val="22"/>
          <w:lang w:eastAsia="en-US"/>
        </w:rPr>
        <w:t xml:space="preserve">w powyższych tabelach, odpowiadające </w:t>
      </w:r>
      <w:r w:rsidR="000F5C98">
        <w:rPr>
          <w:rFonts w:asciiTheme="minorHAnsi" w:eastAsiaTheme="minorHAnsi" w:hAnsiTheme="minorHAnsi" w:cs="Arial"/>
          <w:szCs w:val="22"/>
          <w:lang w:eastAsia="en-US"/>
        </w:rPr>
        <w:t xml:space="preserve">celowi </w:t>
      </w:r>
      <w:r w:rsidRPr="00911273">
        <w:rPr>
          <w:rFonts w:asciiTheme="minorHAnsi" w:eastAsiaTheme="minorHAnsi" w:hAnsiTheme="minorHAnsi" w:cs="Arial"/>
          <w:szCs w:val="22"/>
          <w:lang w:eastAsia="en-US"/>
        </w:rPr>
        <w:t xml:space="preserve">projektu. </w:t>
      </w:r>
    </w:p>
    <w:p w:rsidR="00AA6B29" w:rsidRPr="00A92980" w:rsidRDefault="008C495E" w:rsidP="00AA6B29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  <w:szCs w:val="22"/>
        </w:rPr>
      </w:pPr>
      <w:r w:rsidRPr="00911273">
        <w:rPr>
          <w:rFonts w:asciiTheme="minorHAnsi" w:hAnsiTheme="minorHAnsi"/>
          <w:szCs w:val="22"/>
        </w:rPr>
        <w:t xml:space="preserve">Dodatkowo w ramach wniosku o dofinansowanie Wnioskodawca może określić inne, </w:t>
      </w:r>
      <w:r w:rsidRPr="00AA6B29">
        <w:rPr>
          <w:rFonts w:asciiTheme="minorHAnsi" w:hAnsiTheme="minorHAnsi"/>
          <w:b/>
          <w:szCs w:val="22"/>
        </w:rPr>
        <w:t>dodatkowe wskaźniki specyficzne dla danego projektu</w:t>
      </w:r>
      <w:r w:rsidRPr="00911273">
        <w:rPr>
          <w:rFonts w:asciiTheme="minorHAnsi" w:hAnsiTheme="minorHAnsi"/>
          <w:szCs w:val="22"/>
        </w:rPr>
        <w:t>, o ile będzie to niezbędne dla prawidłowej realizacji proje</w:t>
      </w:r>
      <w:r w:rsidR="00AA6B29">
        <w:rPr>
          <w:rFonts w:asciiTheme="minorHAnsi" w:hAnsiTheme="minorHAnsi"/>
          <w:szCs w:val="22"/>
        </w:rPr>
        <w:t xml:space="preserve">ktu (tzw. wskaźniki projektowe). </w:t>
      </w:r>
      <w:r w:rsidR="00AA6B29" w:rsidRPr="00B92427">
        <w:rPr>
          <w:rFonts w:asciiTheme="minorHAnsi" w:hAnsiTheme="minorHAnsi"/>
          <w:b/>
          <w:szCs w:val="22"/>
        </w:rPr>
        <w:t xml:space="preserve">W ramach Działania 6.1 w przypadku projektów </w:t>
      </w:r>
      <w:r w:rsidR="00A92980">
        <w:rPr>
          <w:rFonts w:asciiTheme="minorHAnsi" w:hAnsiTheme="minorHAnsi"/>
          <w:b/>
          <w:szCs w:val="22"/>
        </w:rPr>
        <w:t xml:space="preserve">(typu C) </w:t>
      </w:r>
      <w:r w:rsidR="00AA6B29" w:rsidRPr="00B92427">
        <w:rPr>
          <w:rFonts w:asciiTheme="minorHAnsi" w:hAnsiTheme="minorHAnsi"/>
          <w:b/>
          <w:szCs w:val="22"/>
        </w:rPr>
        <w:t xml:space="preserve">dotyczących budowy, remontu, przebudowy, rozbudowy, wyposażenia, modernizacji oraz adaptacji infrastruktury prowadzonej przez podmioty opieki nad dziećmi do 3 roku życia (np. żłobki, kluby malucha), </w:t>
      </w:r>
      <w:r w:rsidR="00A92980">
        <w:rPr>
          <w:rFonts w:asciiTheme="minorHAnsi" w:hAnsiTheme="minorHAnsi"/>
          <w:b/>
          <w:szCs w:val="22"/>
          <w:u w:val="single"/>
        </w:rPr>
        <w:t>będzie to np. wskaźnik dotyczący tworzenia nowych miejsc opieki nad dziećmi do lat 3</w:t>
      </w:r>
      <w:r w:rsidR="00A92980">
        <w:rPr>
          <w:rFonts w:asciiTheme="minorHAnsi" w:hAnsiTheme="minorHAnsi"/>
          <w:szCs w:val="22"/>
          <w:u w:val="single"/>
        </w:rPr>
        <w:t xml:space="preserve"> </w:t>
      </w:r>
      <w:r w:rsidR="00A92980" w:rsidRPr="00A92980">
        <w:rPr>
          <w:rFonts w:asciiTheme="minorHAnsi" w:hAnsiTheme="minorHAnsi"/>
          <w:szCs w:val="22"/>
          <w:u w:val="single"/>
        </w:rPr>
        <w:t xml:space="preserve">a </w:t>
      </w:r>
      <w:r w:rsidR="00A92980">
        <w:rPr>
          <w:rFonts w:asciiTheme="minorHAnsi" w:hAnsiTheme="minorHAnsi"/>
          <w:szCs w:val="22"/>
          <w:u w:val="single"/>
        </w:rPr>
        <w:t>j</w:t>
      </w:r>
      <w:r w:rsidR="00A92980" w:rsidRPr="00A92980">
        <w:rPr>
          <w:rFonts w:asciiTheme="minorHAnsi" w:hAnsiTheme="minorHAnsi"/>
          <w:szCs w:val="22"/>
          <w:u w:val="single"/>
        </w:rPr>
        <w:t>ego</w:t>
      </w:r>
      <w:r w:rsidR="00A92980">
        <w:rPr>
          <w:rFonts w:asciiTheme="minorHAnsi" w:hAnsiTheme="minorHAnsi"/>
          <w:szCs w:val="22"/>
          <w:u w:val="single"/>
        </w:rPr>
        <w:t xml:space="preserve"> wykazanie będzie warunkowało przyznanie odpowiedniej punktacji na etapie oceny projektu</w:t>
      </w:r>
      <w:r w:rsidR="00A92980" w:rsidRPr="00A92980">
        <w:rPr>
          <w:rFonts w:asciiTheme="minorHAnsi" w:hAnsiTheme="minorHAnsi"/>
          <w:szCs w:val="22"/>
        </w:rPr>
        <w:t>.</w:t>
      </w:r>
    </w:p>
    <w:p w:rsidR="00340A6B" w:rsidRPr="0044238B" w:rsidRDefault="008C495E" w:rsidP="0044238B">
      <w:pPr>
        <w:pStyle w:val="Defaul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112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We wniosku o dofinansowanie należy określić, w jaki sposób i na jakiej podstawie mierzone będą wskaźniki realizacji celu </w:t>
      </w:r>
      <w:r w:rsidR="008E3F0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projektu </w:t>
      </w:r>
      <w:r w:rsidRPr="009112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poprzez ustalenie źródła weryfikacji/pozyskania danych do pomiaru </w:t>
      </w:r>
      <w:r w:rsidRPr="00911273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wskaźnika oraz częstotliwości pomiaru. Dlatego przy określaniu wskaźników należy wziąć pod uwagę dostępność i wiarygodność danych niezbędnych do pomiaru danego wskaźnika. </w:t>
      </w:r>
    </w:p>
    <w:p w:rsidR="003C55C7" w:rsidRPr="00340A6B" w:rsidRDefault="003C55C7" w:rsidP="007650AC">
      <w:pPr>
        <w:spacing w:line="240" w:lineRule="auto"/>
        <w:jc w:val="both"/>
        <w:rPr>
          <w:rFonts w:asciiTheme="minorHAnsi" w:hAnsiTheme="minorHAnsi" w:cs="Arial"/>
          <w:b/>
          <w:u w:val="single"/>
        </w:rPr>
      </w:pPr>
      <w:r w:rsidRPr="00340A6B">
        <w:rPr>
          <w:rFonts w:asciiTheme="minorHAnsi" w:hAnsiTheme="minorHAnsi" w:cs="Arial"/>
          <w:b/>
          <w:u w:val="single"/>
        </w:rPr>
        <w:t>Wartość bazowa (tzn. wartość w momencie rozpoczęcia realizacji projektu) w</w:t>
      </w:r>
      <w:r w:rsidR="00141571" w:rsidRPr="00340A6B">
        <w:rPr>
          <w:rFonts w:asciiTheme="minorHAnsi" w:hAnsiTheme="minorHAnsi" w:cs="Arial"/>
          <w:b/>
          <w:u w:val="single"/>
        </w:rPr>
        <w:t> </w:t>
      </w:r>
      <w:r w:rsidRPr="00340A6B">
        <w:rPr>
          <w:rFonts w:asciiTheme="minorHAnsi" w:hAnsiTheme="minorHAnsi" w:cs="Arial"/>
          <w:b/>
          <w:u w:val="single"/>
        </w:rPr>
        <w:t>przypadku każdego wskaźnika powinna być wykazana na poziomie „0”</w:t>
      </w:r>
      <w:r w:rsidRPr="00B92427">
        <w:rPr>
          <w:rFonts w:asciiTheme="minorHAnsi" w:hAnsiTheme="minorHAnsi" w:cs="Arial"/>
          <w:b/>
        </w:rPr>
        <w:t>.</w:t>
      </w:r>
    </w:p>
    <w:p w:rsidR="0032765F" w:rsidRPr="00911273" w:rsidRDefault="003C55C7" w:rsidP="00A92980">
      <w:pPr>
        <w:spacing w:line="240" w:lineRule="auto"/>
        <w:jc w:val="both"/>
        <w:rPr>
          <w:szCs w:val="22"/>
        </w:rPr>
      </w:pPr>
      <w:r w:rsidRPr="00340A6B">
        <w:rPr>
          <w:rFonts w:asciiTheme="minorHAnsi" w:hAnsiTheme="minorHAnsi" w:cs="Arial"/>
          <w:b/>
          <w:u w:val="single"/>
        </w:rPr>
        <w:t xml:space="preserve">O ile w umowie o dofinansowanie projektu nie wskazano inaczej, efekt wsparcia </w:t>
      </w:r>
      <w:r w:rsidR="00B92427">
        <w:rPr>
          <w:rFonts w:asciiTheme="minorHAnsi" w:hAnsiTheme="minorHAnsi" w:cs="Arial"/>
          <w:b/>
          <w:u w:val="single"/>
        </w:rPr>
        <w:t xml:space="preserve">na poziomie projektu występuje </w:t>
      </w:r>
      <w:r w:rsidRPr="00340A6B">
        <w:rPr>
          <w:rFonts w:asciiTheme="minorHAnsi" w:hAnsiTheme="minorHAnsi" w:cs="Arial"/>
          <w:b/>
          <w:u w:val="single"/>
        </w:rPr>
        <w:t>w przypadku wskaźników produktu – w okresie od podpisania umowy o</w:t>
      </w:r>
      <w:r w:rsidR="00141571" w:rsidRPr="00340A6B">
        <w:rPr>
          <w:rFonts w:asciiTheme="minorHAnsi" w:hAnsiTheme="minorHAnsi" w:cs="Arial"/>
          <w:b/>
          <w:u w:val="single"/>
        </w:rPr>
        <w:t> </w:t>
      </w:r>
      <w:r w:rsidRPr="00340A6B">
        <w:rPr>
          <w:rFonts w:asciiTheme="minorHAnsi" w:hAnsiTheme="minorHAnsi" w:cs="Arial"/>
          <w:b/>
          <w:u w:val="single"/>
        </w:rPr>
        <w:t>dofinansowanie, przy czym osiągnięte wartości powinny zostać wykazane najpóźniej</w:t>
      </w:r>
      <w:r w:rsidR="00B92427">
        <w:rPr>
          <w:rFonts w:asciiTheme="minorHAnsi" w:hAnsiTheme="minorHAnsi" w:cs="Arial"/>
          <w:b/>
          <w:u w:val="single"/>
        </w:rPr>
        <w:t xml:space="preserve"> we wniosku o płatność końcową.</w:t>
      </w:r>
    </w:p>
    <w:sectPr w:rsidR="0032765F" w:rsidRPr="00911273" w:rsidSect="003A3F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5DA" w:rsidRDefault="008D05DA" w:rsidP="008C495E">
      <w:pPr>
        <w:spacing w:before="0" w:line="240" w:lineRule="auto"/>
      </w:pPr>
      <w:r>
        <w:separator/>
      </w:r>
    </w:p>
  </w:endnote>
  <w:endnote w:type="continuationSeparator" w:id="0">
    <w:p w:rsidR="008D05DA" w:rsidRDefault="008D05DA" w:rsidP="008C495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6530044"/>
      <w:docPartObj>
        <w:docPartGallery w:val="Page Numbers (Bottom of Page)"/>
        <w:docPartUnique/>
      </w:docPartObj>
    </w:sdtPr>
    <w:sdtContent>
      <w:p w:rsidR="00A66C0C" w:rsidRDefault="00B859CE">
        <w:pPr>
          <w:pStyle w:val="Stopka"/>
          <w:jc w:val="right"/>
        </w:pPr>
        <w:r>
          <w:fldChar w:fldCharType="begin"/>
        </w:r>
        <w:r w:rsidR="00A66C0C">
          <w:instrText>PAGE   \* MERGEFORMAT</w:instrText>
        </w:r>
        <w:r>
          <w:fldChar w:fldCharType="separate"/>
        </w:r>
        <w:r w:rsidR="00811431">
          <w:rPr>
            <w:noProof/>
          </w:rPr>
          <w:t>5</w:t>
        </w:r>
        <w:r>
          <w:fldChar w:fldCharType="end"/>
        </w:r>
      </w:p>
    </w:sdtContent>
  </w:sdt>
  <w:p w:rsidR="00A66C0C" w:rsidRDefault="00A66C0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45474"/>
      <w:docPartObj>
        <w:docPartGallery w:val="Page Numbers (Bottom of Page)"/>
        <w:docPartUnique/>
      </w:docPartObj>
    </w:sdtPr>
    <w:sdtContent>
      <w:p w:rsidR="00B33F83" w:rsidRDefault="00B859CE">
        <w:pPr>
          <w:pStyle w:val="Stopka"/>
          <w:jc w:val="right"/>
        </w:pPr>
        <w:r>
          <w:fldChar w:fldCharType="begin"/>
        </w:r>
        <w:r w:rsidR="00B7566F">
          <w:instrText xml:space="preserve"> PAGE   \* MERGEFORMAT </w:instrText>
        </w:r>
        <w:r>
          <w:fldChar w:fldCharType="separate"/>
        </w:r>
        <w:r w:rsidR="008114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3F83" w:rsidRDefault="00B33F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5DA" w:rsidRDefault="008D05DA" w:rsidP="008C495E">
      <w:pPr>
        <w:spacing w:before="0" w:line="240" w:lineRule="auto"/>
      </w:pPr>
      <w:r>
        <w:separator/>
      </w:r>
    </w:p>
  </w:footnote>
  <w:footnote w:type="continuationSeparator" w:id="0">
    <w:p w:rsidR="008D05DA" w:rsidRDefault="008D05DA" w:rsidP="008C495E">
      <w:pPr>
        <w:spacing w:before="0" w:line="240" w:lineRule="auto"/>
      </w:pPr>
      <w:r>
        <w:continuationSeparator/>
      </w:r>
    </w:p>
  </w:footnote>
  <w:footnote w:id="1">
    <w:p w:rsidR="00440A48" w:rsidRPr="00440A48" w:rsidRDefault="00440A48">
      <w:pPr>
        <w:pStyle w:val="Tekstprzypisudolnego"/>
        <w:rPr>
          <w:rFonts w:asciiTheme="minorHAnsi" w:hAnsiTheme="minorHAnsi"/>
        </w:rPr>
      </w:pPr>
      <w:r w:rsidRPr="00440A48">
        <w:rPr>
          <w:rStyle w:val="Odwoanieprzypisudolnego"/>
          <w:rFonts w:asciiTheme="minorHAnsi" w:hAnsiTheme="minorHAnsi"/>
        </w:rPr>
        <w:footnoteRef/>
      </w:r>
      <w:r w:rsidRPr="00440A48">
        <w:rPr>
          <w:rFonts w:asciiTheme="minorHAnsi" w:hAnsiTheme="minorHAnsi"/>
        </w:rPr>
        <w:t xml:space="preserve"> Pod pojęciem rozbudowy rozumie się sytuację, w której rozbudowywana część obiektu będzie funkcjonalnie i rzeczywiście połączona z istniejącą częścią obiektu.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C0C" w:rsidRDefault="00A66C0C">
    <w:pPr>
      <w:pStyle w:val="Nagwek"/>
      <w:jc w:val="right"/>
    </w:pPr>
  </w:p>
  <w:p w:rsidR="00C0278F" w:rsidRPr="0083253A" w:rsidRDefault="00C0278F" w:rsidP="0083253A">
    <w:pPr>
      <w:pStyle w:val="Nagwek"/>
      <w:tabs>
        <w:tab w:val="clear" w:pos="4536"/>
        <w:tab w:val="clear" w:pos="9072"/>
        <w:tab w:val="left" w:pos="6720"/>
      </w:tabs>
      <w:jc w:val="right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F83" w:rsidRDefault="00422DE9" w:rsidP="00422DE9">
    <w:pPr>
      <w:pStyle w:val="Nagwek"/>
      <w:jc w:val="center"/>
      <w:rPr>
        <w:noProof/>
        <w:sz w:val="16"/>
        <w:szCs w:val="16"/>
      </w:rPr>
    </w:pPr>
    <w:r>
      <w:rPr>
        <w:noProof/>
        <w:sz w:val="16"/>
        <w:szCs w:val="16"/>
      </w:rPr>
      <w:t>6</w:t>
    </w:r>
  </w:p>
  <w:p w:rsidR="00B33F83" w:rsidRDefault="00B33F83" w:rsidP="00B33F83">
    <w:pPr>
      <w:pStyle w:val="Nagwek"/>
      <w:tabs>
        <w:tab w:val="left" w:pos="6602"/>
      </w:tabs>
      <w:rPr>
        <w:noProof/>
        <w:sz w:val="16"/>
        <w:szCs w:val="16"/>
      </w:rPr>
    </w:pPr>
    <w:r>
      <w:rPr>
        <w:noProof/>
        <w:sz w:val="16"/>
        <w:szCs w:val="16"/>
      </w:rPr>
      <w:tab/>
    </w:r>
    <w:r>
      <w:rPr>
        <w:noProof/>
        <w:sz w:val="16"/>
        <w:szCs w:val="16"/>
      </w:rPr>
      <w:tab/>
    </w:r>
    <w:r w:rsidRPr="00B33F83">
      <w:rPr>
        <w:noProof/>
        <w:sz w:val="16"/>
        <w:szCs w:val="16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347980</wp:posOffset>
          </wp:positionH>
          <wp:positionV relativeFrom="paragraph">
            <wp:posOffset>-137795</wp:posOffset>
          </wp:positionV>
          <wp:extent cx="4971415" cy="619125"/>
          <wp:effectExtent l="0" t="0" r="635" b="9525"/>
          <wp:wrapNone/>
          <wp:docPr id="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RR-poziom-PL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1600" cy="6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6"/>
        <w:szCs w:val="16"/>
      </w:rPr>
      <w:tab/>
    </w:r>
  </w:p>
  <w:p w:rsidR="00B33F83" w:rsidRDefault="00B33F83" w:rsidP="003A3F65">
    <w:pPr>
      <w:pStyle w:val="Nagwek"/>
      <w:jc w:val="right"/>
      <w:rPr>
        <w:noProof/>
        <w:sz w:val="16"/>
        <w:szCs w:val="16"/>
      </w:rPr>
    </w:pPr>
  </w:p>
  <w:p w:rsidR="00B33F83" w:rsidRDefault="00B33F83" w:rsidP="003A3F65">
    <w:pPr>
      <w:pStyle w:val="Nagwek"/>
      <w:jc w:val="right"/>
      <w:rPr>
        <w:noProof/>
        <w:sz w:val="16"/>
        <w:szCs w:val="16"/>
      </w:rPr>
    </w:pPr>
  </w:p>
  <w:p w:rsidR="00B33F83" w:rsidRDefault="00B33F83" w:rsidP="003A3F65">
    <w:pPr>
      <w:pStyle w:val="Nagwek"/>
      <w:jc w:val="right"/>
      <w:rPr>
        <w:noProof/>
        <w:sz w:val="16"/>
        <w:szCs w:val="16"/>
      </w:rPr>
    </w:pPr>
  </w:p>
  <w:p w:rsidR="003A3F65" w:rsidRPr="003A3F65" w:rsidRDefault="003A3F65" w:rsidP="003A3F65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Załącznik  nr 2</w:t>
    </w:r>
    <w:r w:rsidRPr="003A3F65">
      <w:rPr>
        <w:sz w:val="16"/>
        <w:szCs w:val="16"/>
      </w:rPr>
      <w:t xml:space="preserve"> do Regulaminu konkursu </w:t>
    </w:r>
  </w:p>
  <w:p w:rsidR="0083253A" w:rsidRPr="003A3F65" w:rsidRDefault="003A3F65" w:rsidP="003A3F65">
    <w:pPr>
      <w:pStyle w:val="Nagwek"/>
      <w:jc w:val="right"/>
      <w:rPr>
        <w:sz w:val="16"/>
        <w:szCs w:val="16"/>
      </w:rPr>
    </w:pPr>
    <w:r w:rsidRPr="003A3F65">
      <w:rPr>
        <w:sz w:val="16"/>
        <w:szCs w:val="16"/>
      </w:rPr>
      <w:t xml:space="preserve">Nr naboru </w:t>
    </w:r>
    <w:r w:rsidR="00422DE9">
      <w:rPr>
        <w:sz w:val="16"/>
        <w:szCs w:val="16"/>
      </w:rPr>
      <w:t>RPDS.06.01</w:t>
    </w:r>
    <w:r w:rsidR="001F684D">
      <w:rPr>
        <w:sz w:val="16"/>
        <w:szCs w:val="16"/>
      </w:rPr>
      <w:t>.0</w:t>
    </w:r>
    <w:r w:rsidR="00511166">
      <w:rPr>
        <w:sz w:val="16"/>
        <w:szCs w:val="16"/>
      </w:rPr>
      <w:t>2</w:t>
    </w:r>
    <w:r w:rsidR="001F684D">
      <w:rPr>
        <w:sz w:val="16"/>
        <w:szCs w:val="16"/>
      </w:rPr>
      <w:t>-IZ.00-02-1</w:t>
    </w:r>
    <w:r w:rsidR="00422DE9">
      <w:rPr>
        <w:sz w:val="16"/>
        <w:szCs w:val="16"/>
      </w:rPr>
      <w:t>0</w:t>
    </w:r>
    <w:r w:rsidR="00511166">
      <w:rPr>
        <w:sz w:val="16"/>
        <w:szCs w:val="16"/>
      </w:rPr>
      <w:t>1</w:t>
    </w:r>
    <w:r w:rsidR="00F56AFD" w:rsidRPr="00F56AFD">
      <w:rPr>
        <w:sz w:val="16"/>
        <w:szCs w:val="16"/>
      </w:rPr>
      <w:t>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1192"/>
    <w:multiLevelType w:val="multilevel"/>
    <w:tmpl w:val="237818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CC7735"/>
    <w:multiLevelType w:val="hybridMultilevel"/>
    <w:tmpl w:val="1B862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419B7"/>
    <w:multiLevelType w:val="hybridMultilevel"/>
    <w:tmpl w:val="35F6A7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5CBB"/>
    <w:multiLevelType w:val="hybridMultilevel"/>
    <w:tmpl w:val="6DB89E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10331B"/>
    <w:multiLevelType w:val="hybridMultilevel"/>
    <w:tmpl w:val="7CF431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B1A21"/>
    <w:multiLevelType w:val="hybridMultilevel"/>
    <w:tmpl w:val="78B2AF7E"/>
    <w:lvl w:ilvl="0" w:tplc="0EC8615E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4E6257"/>
    <w:multiLevelType w:val="hybridMultilevel"/>
    <w:tmpl w:val="3E6ADC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D39CE"/>
    <w:multiLevelType w:val="hybridMultilevel"/>
    <w:tmpl w:val="E6F62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8C495E"/>
    <w:rsid w:val="00002E70"/>
    <w:rsid w:val="000253C7"/>
    <w:rsid w:val="00094C3F"/>
    <w:rsid w:val="000972D6"/>
    <w:rsid w:val="000B05C7"/>
    <w:rsid w:val="000B41ED"/>
    <w:rsid w:val="000C0A4C"/>
    <w:rsid w:val="000D7D03"/>
    <w:rsid w:val="000F2F7C"/>
    <w:rsid w:val="000F5C98"/>
    <w:rsid w:val="00122EE4"/>
    <w:rsid w:val="001375BD"/>
    <w:rsid w:val="00141571"/>
    <w:rsid w:val="001437C9"/>
    <w:rsid w:val="0015486C"/>
    <w:rsid w:val="00184A53"/>
    <w:rsid w:val="00191605"/>
    <w:rsid w:val="001A47D2"/>
    <w:rsid w:val="001C4F9E"/>
    <w:rsid w:val="001E3E4E"/>
    <w:rsid w:val="001F684D"/>
    <w:rsid w:val="00222A42"/>
    <w:rsid w:val="002261A4"/>
    <w:rsid w:val="00237177"/>
    <w:rsid w:val="002408B0"/>
    <w:rsid w:val="00246DFA"/>
    <w:rsid w:val="00253FAA"/>
    <w:rsid w:val="00262292"/>
    <w:rsid w:val="00266D58"/>
    <w:rsid w:val="002972E4"/>
    <w:rsid w:val="002B1B3F"/>
    <w:rsid w:val="002B5DA0"/>
    <w:rsid w:val="002D5507"/>
    <w:rsid w:val="002E3CC8"/>
    <w:rsid w:val="002F6273"/>
    <w:rsid w:val="0032765F"/>
    <w:rsid w:val="00335935"/>
    <w:rsid w:val="00340A6B"/>
    <w:rsid w:val="003517C9"/>
    <w:rsid w:val="00370466"/>
    <w:rsid w:val="00380060"/>
    <w:rsid w:val="00380861"/>
    <w:rsid w:val="00381C30"/>
    <w:rsid w:val="00396F3C"/>
    <w:rsid w:val="003A3F65"/>
    <w:rsid w:val="003A6137"/>
    <w:rsid w:val="003C55C7"/>
    <w:rsid w:val="003D2C3D"/>
    <w:rsid w:val="003D3BC5"/>
    <w:rsid w:val="003F6A6D"/>
    <w:rsid w:val="0041446A"/>
    <w:rsid w:val="00421C29"/>
    <w:rsid w:val="00422DE9"/>
    <w:rsid w:val="00440A48"/>
    <w:rsid w:val="0044238B"/>
    <w:rsid w:val="00443051"/>
    <w:rsid w:val="0046263E"/>
    <w:rsid w:val="0046493A"/>
    <w:rsid w:val="00471B0C"/>
    <w:rsid w:val="00476947"/>
    <w:rsid w:val="00485CDD"/>
    <w:rsid w:val="004B303A"/>
    <w:rsid w:val="00506413"/>
    <w:rsid w:val="00511166"/>
    <w:rsid w:val="00516B06"/>
    <w:rsid w:val="00522930"/>
    <w:rsid w:val="00530E5D"/>
    <w:rsid w:val="00535E8F"/>
    <w:rsid w:val="005506E5"/>
    <w:rsid w:val="00555321"/>
    <w:rsid w:val="005615C8"/>
    <w:rsid w:val="005657D8"/>
    <w:rsid w:val="00572667"/>
    <w:rsid w:val="005A1857"/>
    <w:rsid w:val="0060140B"/>
    <w:rsid w:val="0061737E"/>
    <w:rsid w:val="00620A45"/>
    <w:rsid w:val="00620B41"/>
    <w:rsid w:val="00635DB0"/>
    <w:rsid w:val="00664321"/>
    <w:rsid w:val="0067179E"/>
    <w:rsid w:val="00677786"/>
    <w:rsid w:val="006A09F0"/>
    <w:rsid w:val="006B05A8"/>
    <w:rsid w:val="006C3827"/>
    <w:rsid w:val="006C652C"/>
    <w:rsid w:val="006E31F1"/>
    <w:rsid w:val="00701E65"/>
    <w:rsid w:val="00704B1F"/>
    <w:rsid w:val="00726AC4"/>
    <w:rsid w:val="007300ED"/>
    <w:rsid w:val="00741B27"/>
    <w:rsid w:val="007650AC"/>
    <w:rsid w:val="00770BD0"/>
    <w:rsid w:val="00785C6B"/>
    <w:rsid w:val="00787387"/>
    <w:rsid w:val="007D1CF1"/>
    <w:rsid w:val="007D7DE7"/>
    <w:rsid w:val="007E025A"/>
    <w:rsid w:val="007E26CB"/>
    <w:rsid w:val="007E6D53"/>
    <w:rsid w:val="0080321F"/>
    <w:rsid w:val="00811431"/>
    <w:rsid w:val="0083253A"/>
    <w:rsid w:val="008554A8"/>
    <w:rsid w:val="0085713F"/>
    <w:rsid w:val="008A09D1"/>
    <w:rsid w:val="008A195C"/>
    <w:rsid w:val="008B21E1"/>
    <w:rsid w:val="008B673D"/>
    <w:rsid w:val="008C495E"/>
    <w:rsid w:val="008D05DA"/>
    <w:rsid w:val="008D1389"/>
    <w:rsid w:val="008E3F0D"/>
    <w:rsid w:val="009024D3"/>
    <w:rsid w:val="00911273"/>
    <w:rsid w:val="00916539"/>
    <w:rsid w:val="00916677"/>
    <w:rsid w:val="009449EE"/>
    <w:rsid w:val="009456DB"/>
    <w:rsid w:val="00946665"/>
    <w:rsid w:val="00957260"/>
    <w:rsid w:val="009609F6"/>
    <w:rsid w:val="00982504"/>
    <w:rsid w:val="009926BE"/>
    <w:rsid w:val="009B52F7"/>
    <w:rsid w:val="009D3C56"/>
    <w:rsid w:val="009E65D0"/>
    <w:rsid w:val="00A318E7"/>
    <w:rsid w:val="00A459F4"/>
    <w:rsid w:val="00A66C0C"/>
    <w:rsid w:val="00A7445E"/>
    <w:rsid w:val="00A804DB"/>
    <w:rsid w:val="00A92980"/>
    <w:rsid w:val="00AA6B29"/>
    <w:rsid w:val="00AD2437"/>
    <w:rsid w:val="00B145AE"/>
    <w:rsid w:val="00B17F26"/>
    <w:rsid w:val="00B204DD"/>
    <w:rsid w:val="00B235B0"/>
    <w:rsid w:val="00B32BB7"/>
    <w:rsid w:val="00B33F83"/>
    <w:rsid w:val="00B40F0F"/>
    <w:rsid w:val="00B61B7A"/>
    <w:rsid w:val="00B7566F"/>
    <w:rsid w:val="00B840A9"/>
    <w:rsid w:val="00B859CE"/>
    <w:rsid w:val="00B92427"/>
    <w:rsid w:val="00BC03CE"/>
    <w:rsid w:val="00C0278F"/>
    <w:rsid w:val="00C10532"/>
    <w:rsid w:val="00C40E8D"/>
    <w:rsid w:val="00C90F5E"/>
    <w:rsid w:val="00C9174F"/>
    <w:rsid w:val="00C96A75"/>
    <w:rsid w:val="00CA1C6D"/>
    <w:rsid w:val="00CB645C"/>
    <w:rsid w:val="00CC7758"/>
    <w:rsid w:val="00CF5466"/>
    <w:rsid w:val="00CF57DB"/>
    <w:rsid w:val="00CF69D1"/>
    <w:rsid w:val="00D03CAB"/>
    <w:rsid w:val="00D11CB4"/>
    <w:rsid w:val="00D11E26"/>
    <w:rsid w:val="00D5098A"/>
    <w:rsid w:val="00D57D29"/>
    <w:rsid w:val="00D93881"/>
    <w:rsid w:val="00DA2DDC"/>
    <w:rsid w:val="00DB617A"/>
    <w:rsid w:val="00DC184F"/>
    <w:rsid w:val="00E232BD"/>
    <w:rsid w:val="00E32822"/>
    <w:rsid w:val="00E32B6F"/>
    <w:rsid w:val="00E33D9D"/>
    <w:rsid w:val="00E6017F"/>
    <w:rsid w:val="00E61834"/>
    <w:rsid w:val="00E72468"/>
    <w:rsid w:val="00E90CA0"/>
    <w:rsid w:val="00EA265F"/>
    <w:rsid w:val="00F02218"/>
    <w:rsid w:val="00F11106"/>
    <w:rsid w:val="00F17083"/>
    <w:rsid w:val="00F56AFD"/>
    <w:rsid w:val="00F66AA4"/>
    <w:rsid w:val="00F72230"/>
    <w:rsid w:val="00FC6B1D"/>
    <w:rsid w:val="00FD4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95E"/>
    <w:pPr>
      <w:spacing w:before="200" w:after="0" w:line="320" w:lineRule="atLeast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C495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C495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C495E"/>
    <w:pPr>
      <w:ind w:left="708"/>
    </w:pPr>
  </w:style>
  <w:style w:type="character" w:customStyle="1" w:styleId="AkapitzlistZnak">
    <w:name w:val="Akapit z listą Znak"/>
    <w:link w:val="Akapitzlist"/>
    <w:uiPriority w:val="34"/>
    <w:rsid w:val="008C495E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 Znak,o,fn"/>
    <w:basedOn w:val="Normalny"/>
    <w:link w:val="TekstprzypisudolnegoZnak"/>
    <w:qFormat/>
    <w:rsid w:val="008C495E"/>
    <w:pPr>
      <w:spacing w:before="0" w:line="240" w:lineRule="auto"/>
    </w:pPr>
    <w:rPr>
      <w:rFonts w:ascii="Times New Roman" w:hAnsi="Times New Roman"/>
      <w:sz w:val="20"/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 Znak Znak,o Znak,fn Znak"/>
    <w:basedOn w:val="Domylnaczcionkaakapitu"/>
    <w:link w:val="Tekstprzypisudolnego"/>
    <w:rsid w:val="008C495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8C495E"/>
    <w:rPr>
      <w:vertAlign w:val="superscript"/>
    </w:rPr>
  </w:style>
  <w:style w:type="paragraph" w:customStyle="1" w:styleId="Default">
    <w:name w:val="Default"/>
    <w:rsid w:val="008C495E"/>
    <w:pPr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C49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127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27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4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0466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0466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4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466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Nagwek">
    <w:name w:val="header"/>
    <w:aliases w:val="Znak Znak,Znak"/>
    <w:basedOn w:val="Normalny"/>
    <w:link w:val="NagwekZnak"/>
    <w:uiPriority w:val="99"/>
    <w:unhideWhenUsed/>
    <w:rsid w:val="00C0278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C0278F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278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78F"/>
    <w:rPr>
      <w:rFonts w:ascii="Arial" w:eastAsia="Times New Roman" w:hAnsi="Arial" w:cs="Times New Roman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9449EE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95E"/>
    <w:pPr>
      <w:spacing w:before="200" w:after="0" w:line="320" w:lineRule="atLeast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C495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C495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C495E"/>
    <w:pPr>
      <w:ind w:left="708"/>
    </w:pPr>
  </w:style>
  <w:style w:type="character" w:customStyle="1" w:styleId="AkapitzlistZnak">
    <w:name w:val="Akapit z listą Znak"/>
    <w:link w:val="Akapitzlist"/>
    <w:uiPriority w:val="34"/>
    <w:rsid w:val="008C495E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 Znak,o,fn"/>
    <w:basedOn w:val="Normalny"/>
    <w:link w:val="TekstprzypisudolnegoZnak"/>
    <w:qFormat/>
    <w:rsid w:val="008C495E"/>
    <w:pPr>
      <w:spacing w:before="0" w:line="240" w:lineRule="auto"/>
    </w:pPr>
    <w:rPr>
      <w:rFonts w:ascii="Times New Roman" w:hAnsi="Times New Roman"/>
      <w:sz w:val="20"/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 Znak Znak,o Znak,fn Znak"/>
    <w:basedOn w:val="Domylnaczcionkaakapitu"/>
    <w:link w:val="Tekstprzypisudolnego"/>
    <w:rsid w:val="008C495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8C495E"/>
    <w:rPr>
      <w:vertAlign w:val="superscript"/>
    </w:rPr>
  </w:style>
  <w:style w:type="paragraph" w:customStyle="1" w:styleId="Default">
    <w:name w:val="Default"/>
    <w:rsid w:val="008C495E"/>
    <w:pPr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C49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127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27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4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0466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0466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4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466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Nagwek">
    <w:name w:val="header"/>
    <w:aliases w:val="Znak Znak,Znak"/>
    <w:basedOn w:val="Normalny"/>
    <w:link w:val="NagwekZnak"/>
    <w:uiPriority w:val="99"/>
    <w:unhideWhenUsed/>
    <w:rsid w:val="00C0278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C0278F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278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78F"/>
    <w:rPr>
      <w:rFonts w:ascii="Arial" w:eastAsia="Times New Roman" w:hAnsi="Arial" w:cs="Times New Roman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9449E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B48D1-55EE-4C4D-ABEE-693637CA1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1599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Gęsiak-Kaniuka</dc:creator>
  <cp:lastModifiedBy>ksiodmiak</cp:lastModifiedBy>
  <cp:revision>10</cp:revision>
  <cp:lastPrinted>2015-12-18T11:43:00Z</cp:lastPrinted>
  <dcterms:created xsi:type="dcterms:W3CDTF">2016-03-20T15:23:00Z</dcterms:created>
  <dcterms:modified xsi:type="dcterms:W3CDTF">2016-03-29T13:44:00Z</dcterms:modified>
</cp:coreProperties>
</file>