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B1F" w:rsidRPr="00C37847" w:rsidRDefault="00C37847" w:rsidP="00F05B1F">
      <w:pPr>
        <w:jc w:val="center"/>
        <w:rPr>
          <w:b/>
          <w:sz w:val="24"/>
          <w:szCs w:val="24"/>
        </w:rPr>
      </w:pPr>
      <w:r w:rsidRPr="00C37847">
        <w:rPr>
          <w:b/>
          <w:sz w:val="24"/>
          <w:szCs w:val="24"/>
        </w:rPr>
        <w:t>KOMUNIKAT</w:t>
      </w:r>
      <w:r w:rsidR="00947A13" w:rsidRPr="00C37847">
        <w:rPr>
          <w:b/>
          <w:sz w:val="24"/>
          <w:szCs w:val="24"/>
        </w:rPr>
        <w:t xml:space="preserve"> </w:t>
      </w:r>
    </w:p>
    <w:p w:rsidR="00F05B1F" w:rsidRPr="00C37847" w:rsidRDefault="00947A13" w:rsidP="00F05B1F">
      <w:pPr>
        <w:spacing w:after="0"/>
        <w:jc w:val="center"/>
        <w:rPr>
          <w:b/>
          <w:sz w:val="24"/>
          <w:szCs w:val="24"/>
        </w:rPr>
      </w:pPr>
      <w:r w:rsidRPr="00C37847">
        <w:rPr>
          <w:b/>
          <w:sz w:val="24"/>
          <w:szCs w:val="24"/>
        </w:rPr>
        <w:t xml:space="preserve">w sprawie konkursów </w:t>
      </w:r>
      <w:r w:rsidR="00F05B1F" w:rsidRPr="00C37847">
        <w:rPr>
          <w:b/>
          <w:sz w:val="24"/>
          <w:szCs w:val="24"/>
        </w:rPr>
        <w:t xml:space="preserve">w ramach </w:t>
      </w:r>
    </w:p>
    <w:p w:rsidR="00F05B1F" w:rsidRPr="00C37847" w:rsidRDefault="00F05B1F" w:rsidP="00F05B1F">
      <w:pPr>
        <w:spacing w:after="0"/>
        <w:jc w:val="center"/>
        <w:rPr>
          <w:b/>
          <w:sz w:val="24"/>
          <w:szCs w:val="24"/>
        </w:rPr>
      </w:pPr>
      <w:r w:rsidRPr="00C37847">
        <w:rPr>
          <w:b/>
          <w:sz w:val="24"/>
          <w:szCs w:val="24"/>
        </w:rPr>
        <w:t>D</w:t>
      </w:r>
      <w:r w:rsidR="00947A13" w:rsidRPr="00C37847">
        <w:rPr>
          <w:b/>
          <w:sz w:val="24"/>
          <w:szCs w:val="24"/>
        </w:rPr>
        <w:t xml:space="preserve">ziałania </w:t>
      </w:r>
      <w:r w:rsidRPr="00C37847">
        <w:rPr>
          <w:b/>
          <w:sz w:val="24"/>
          <w:szCs w:val="24"/>
        </w:rPr>
        <w:t>6.1 Inwestycje w infrastrukturę społeczną –</w:t>
      </w:r>
    </w:p>
    <w:p w:rsidR="00947A13" w:rsidRPr="00C37847" w:rsidRDefault="00F05B1F" w:rsidP="00F05B1F">
      <w:pPr>
        <w:jc w:val="center"/>
        <w:rPr>
          <w:b/>
          <w:sz w:val="24"/>
          <w:szCs w:val="24"/>
        </w:rPr>
      </w:pPr>
      <w:r w:rsidRPr="00C37847">
        <w:rPr>
          <w:b/>
          <w:sz w:val="24"/>
          <w:szCs w:val="24"/>
        </w:rPr>
        <w:t>6.1.C Budowa, remont, przebudowa, rozbudowa, wyposażenie, modernizacja oraz adaptacja infrastruktury prowadzonej przez podmioty opieki nad dziećmi do 3 roku życia (np. żłobki, kluby malucha)</w:t>
      </w:r>
    </w:p>
    <w:p w:rsidR="00C2069D" w:rsidRPr="00C37847" w:rsidRDefault="006C598A" w:rsidP="00F05B1F">
      <w:pPr>
        <w:spacing w:before="120" w:after="120" w:line="240" w:lineRule="auto"/>
        <w:jc w:val="both"/>
        <w:rPr>
          <w:sz w:val="24"/>
          <w:szCs w:val="24"/>
        </w:rPr>
      </w:pPr>
      <w:r w:rsidRPr="00C37847">
        <w:rPr>
          <w:sz w:val="24"/>
          <w:szCs w:val="24"/>
        </w:rPr>
        <w:t xml:space="preserve">1) </w:t>
      </w:r>
      <w:r w:rsidR="008E6A64" w:rsidRPr="00C37847">
        <w:rPr>
          <w:sz w:val="24"/>
          <w:szCs w:val="24"/>
        </w:rPr>
        <w:t>W związku</w:t>
      </w:r>
      <w:r w:rsidR="00D66371" w:rsidRPr="00C37847">
        <w:rPr>
          <w:sz w:val="24"/>
          <w:szCs w:val="24"/>
        </w:rPr>
        <w:t xml:space="preserve"> z uzyskanymi z Ministerstwa Rozwoju (IK UP) wyjaśnieniami w zakresie</w:t>
      </w:r>
      <w:r w:rsidR="00BF1F36" w:rsidRPr="00C37847">
        <w:rPr>
          <w:sz w:val="24"/>
          <w:szCs w:val="24"/>
        </w:rPr>
        <w:t xml:space="preserve"> </w:t>
      </w:r>
      <w:r w:rsidR="00D66371" w:rsidRPr="00C37847">
        <w:rPr>
          <w:b/>
          <w:sz w:val="24"/>
          <w:szCs w:val="24"/>
        </w:rPr>
        <w:t>pomocy publicznej</w:t>
      </w:r>
      <w:r w:rsidR="00BF1F36" w:rsidRPr="00C37847">
        <w:rPr>
          <w:sz w:val="24"/>
          <w:szCs w:val="24"/>
        </w:rPr>
        <w:t xml:space="preserve">, </w:t>
      </w:r>
      <w:r w:rsidR="007A5E9E" w:rsidRPr="00C37847">
        <w:rPr>
          <w:sz w:val="24"/>
          <w:szCs w:val="24"/>
        </w:rPr>
        <w:t>IZ</w:t>
      </w:r>
      <w:r w:rsidR="00C2069D" w:rsidRPr="00C37847">
        <w:rPr>
          <w:sz w:val="24"/>
          <w:szCs w:val="24"/>
        </w:rPr>
        <w:t xml:space="preserve"> RPO WD 2014-2020 przedstawia poniżej uzupełnieni</w:t>
      </w:r>
      <w:r w:rsidR="00D66371" w:rsidRPr="00C37847">
        <w:rPr>
          <w:sz w:val="24"/>
          <w:szCs w:val="24"/>
        </w:rPr>
        <w:t>e</w:t>
      </w:r>
      <w:r w:rsidR="00C2069D" w:rsidRPr="00C37847">
        <w:rPr>
          <w:sz w:val="24"/>
          <w:szCs w:val="24"/>
        </w:rPr>
        <w:t xml:space="preserve"> informacji zawartych w</w:t>
      </w:r>
      <w:r w:rsidR="00C37847">
        <w:rPr>
          <w:sz w:val="24"/>
          <w:szCs w:val="24"/>
        </w:rPr>
        <w:t> </w:t>
      </w:r>
      <w:r w:rsidR="00C2069D" w:rsidRPr="00C37847">
        <w:rPr>
          <w:sz w:val="24"/>
          <w:szCs w:val="24"/>
        </w:rPr>
        <w:t xml:space="preserve">treści Regulaminów konkursów dla </w:t>
      </w:r>
      <w:r w:rsidR="00C2069D" w:rsidRPr="00C37847">
        <w:rPr>
          <w:b/>
          <w:sz w:val="24"/>
          <w:szCs w:val="24"/>
        </w:rPr>
        <w:t>Działania 6.1 Inwestycje w infrastrukturę społeczną –</w:t>
      </w:r>
      <w:r w:rsidR="00E37E20" w:rsidRPr="00C37847">
        <w:rPr>
          <w:b/>
          <w:sz w:val="24"/>
          <w:szCs w:val="24"/>
        </w:rPr>
        <w:t xml:space="preserve"> </w:t>
      </w:r>
      <w:r w:rsidR="00C2069D" w:rsidRPr="00C37847">
        <w:rPr>
          <w:b/>
          <w:sz w:val="24"/>
          <w:szCs w:val="24"/>
        </w:rPr>
        <w:t>6.1.C</w:t>
      </w:r>
      <w:r w:rsidR="00E37E20" w:rsidRPr="00C37847">
        <w:rPr>
          <w:b/>
          <w:sz w:val="24"/>
          <w:szCs w:val="24"/>
        </w:rPr>
        <w:t xml:space="preserve"> </w:t>
      </w:r>
      <w:r w:rsidR="00C2069D" w:rsidRPr="00C37847">
        <w:rPr>
          <w:b/>
          <w:sz w:val="24"/>
          <w:szCs w:val="24"/>
        </w:rPr>
        <w:t>Budowa, remont, przebudowa, rozbudowa, wyposażenie, modernizacja oraz adaptacja infrastruktury prowadzonej przez podmioty opieki nad dziećmi do 3 roku życia (np. żłobki, kluby malucha)</w:t>
      </w:r>
      <w:r w:rsidR="00C2069D" w:rsidRPr="00C37847">
        <w:rPr>
          <w:sz w:val="24"/>
          <w:szCs w:val="24"/>
        </w:rPr>
        <w:t xml:space="preserve"> w ramach następujących naborów: </w:t>
      </w:r>
      <w:r w:rsidR="00C2069D" w:rsidRPr="00C37847">
        <w:rPr>
          <w:b/>
          <w:sz w:val="24"/>
          <w:szCs w:val="24"/>
        </w:rPr>
        <w:t>nr</w:t>
      </w:r>
      <w:r w:rsidR="00C2069D" w:rsidRPr="00C37847">
        <w:rPr>
          <w:sz w:val="24"/>
          <w:szCs w:val="24"/>
        </w:rPr>
        <w:t xml:space="preserve"> </w:t>
      </w:r>
      <w:r w:rsidR="00C2069D" w:rsidRPr="00C37847">
        <w:rPr>
          <w:b/>
          <w:sz w:val="24"/>
          <w:szCs w:val="24"/>
        </w:rPr>
        <w:t>RPDS.06.01.01-IZ.00-02-100/16, nr RPDS.06.01.02-IZ.00-02-101/16, nr RPDS.06.01.03-IZ.00-02-102/16</w:t>
      </w:r>
      <w:r w:rsidR="00C2069D" w:rsidRPr="00C37847">
        <w:rPr>
          <w:sz w:val="24"/>
          <w:szCs w:val="24"/>
        </w:rPr>
        <w:t>:</w:t>
      </w:r>
    </w:p>
    <w:p w:rsidR="009A521B" w:rsidRPr="00C37847" w:rsidRDefault="00BF1F36" w:rsidP="008E6A64">
      <w:pPr>
        <w:spacing w:before="120" w:after="120" w:line="240" w:lineRule="auto"/>
        <w:jc w:val="both"/>
        <w:rPr>
          <w:sz w:val="24"/>
          <w:szCs w:val="24"/>
          <w:u w:val="single"/>
        </w:rPr>
      </w:pPr>
      <w:r w:rsidRPr="00C37847">
        <w:rPr>
          <w:sz w:val="24"/>
          <w:szCs w:val="24"/>
        </w:rPr>
        <w:t xml:space="preserve">Zapisy </w:t>
      </w:r>
      <w:r w:rsidRPr="00C37847">
        <w:rPr>
          <w:rFonts w:cs="Calibri"/>
          <w:i/>
          <w:color w:val="000000"/>
          <w:sz w:val="24"/>
          <w:szCs w:val="24"/>
        </w:rPr>
        <w:t>„Szczegółow</w:t>
      </w:r>
      <w:r w:rsidR="009A521B" w:rsidRPr="00C37847">
        <w:rPr>
          <w:rFonts w:cs="Calibri"/>
          <w:i/>
          <w:color w:val="000000"/>
          <w:sz w:val="24"/>
          <w:szCs w:val="24"/>
        </w:rPr>
        <w:t>ego</w:t>
      </w:r>
      <w:r w:rsidRPr="00C37847">
        <w:rPr>
          <w:rFonts w:cs="Calibri"/>
          <w:i/>
          <w:color w:val="000000"/>
          <w:sz w:val="24"/>
          <w:szCs w:val="24"/>
        </w:rPr>
        <w:t xml:space="preserve"> Opis</w:t>
      </w:r>
      <w:r w:rsidR="009A521B" w:rsidRPr="00C37847">
        <w:rPr>
          <w:rFonts w:cs="Calibri"/>
          <w:i/>
          <w:color w:val="000000"/>
          <w:sz w:val="24"/>
          <w:szCs w:val="24"/>
        </w:rPr>
        <w:t>u</w:t>
      </w:r>
      <w:r w:rsidRPr="00C37847">
        <w:rPr>
          <w:rFonts w:cs="Calibri"/>
          <w:i/>
          <w:color w:val="000000"/>
          <w:sz w:val="24"/>
          <w:szCs w:val="24"/>
        </w:rPr>
        <w:t xml:space="preserve"> Osi Priorytetowych Regionalnego Programu Operacyjnego Województwa Dolnośląskiego 2014-2020”</w:t>
      </w:r>
      <w:r w:rsidR="008E6A64" w:rsidRPr="00C37847">
        <w:rPr>
          <w:sz w:val="24"/>
          <w:szCs w:val="24"/>
        </w:rPr>
        <w:t>, mówiąc</w:t>
      </w:r>
      <w:r w:rsidR="009A521B" w:rsidRPr="00C37847">
        <w:rPr>
          <w:sz w:val="24"/>
          <w:szCs w:val="24"/>
        </w:rPr>
        <w:t xml:space="preserve">e o tym, iż wspierane w ramach Działania 6.1.C </w:t>
      </w:r>
      <w:r w:rsidR="008E6A64" w:rsidRPr="00C37847">
        <w:rPr>
          <w:sz w:val="24"/>
          <w:szCs w:val="24"/>
        </w:rPr>
        <w:t xml:space="preserve">podmioty muszą działać odpowiednio w zgodzie z </w:t>
      </w:r>
      <w:r w:rsidR="008E6A64" w:rsidRPr="00C37847">
        <w:rPr>
          <w:iCs/>
          <w:sz w:val="24"/>
          <w:szCs w:val="24"/>
        </w:rPr>
        <w:t>ustawą z dnia  4 lutego 2011 r. o</w:t>
      </w:r>
      <w:r w:rsidR="00C37847">
        <w:rPr>
          <w:iCs/>
          <w:sz w:val="24"/>
          <w:szCs w:val="24"/>
        </w:rPr>
        <w:t> </w:t>
      </w:r>
      <w:r w:rsidR="008E6A64" w:rsidRPr="00C37847">
        <w:rPr>
          <w:iCs/>
          <w:sz w:val="24"/>
          <w:szCs w:val="24"/>
        </w:rPr>
        <w:t>opiece nad dziećmi w wieku do lat 3,</w:t>
      </w:r>
      <w:r w:rsidR="008E6A64" w:rsidRPr="00C37847">
        <w:rPr>
          <w:i/>
          <w:iCs/>
          <w:sz w:val="24"/>
          <w:szCs w:val="24"/>
        </w:rPr>
        <w:t xml:space="preserve"> </w:t>
      </w:r>
      <w:r w:rsidR="008E6A64" w:rsidRPr="00C37847">
        <w:rPr>
          <w:sz w:val="24"/>
          <w:szCs w:val="24"/>
        </w:rPr>
        <w:t xml:space="preserve">wskazują na fakt, iż </w:t>
      </w:r>
      <w:r w:rsidR="008E6A64" w:rsidRPr="00C37847">
        <w:rPr>
          <w:sz w:val="24"/>
          <w:szCs w:val="24"/>
          <w:u w:val="single"/>
        </w:rPr>
        <w:t xml:space="preserve">podejście </w:t>
      </w:r>
      <w:proofErr w:type="spellStart"/>
      <w:r w:rsidR="00E20F66">
        <w:rPr>
          <w:sz w:val="24"/>
          <w:szCs w:val="24"/>
          <w:u w:val="single"/>
        </w:rPr>
        <w:t>UOKiK</w:t>
      </w:r>
      <w:proofErr w:type="spellEnd"/>
      <w:r w:rsidR="00E20F66">
        <w:rPr>
          <w:sz w:val="24"/>
          <w:szCs w:val="24"/>
          <w:u w:val="single"/>
        </w:rPr>
        <w:t xml:space="preserve"> wyrażone w</w:t>
      </w:r>
      <w:r w:rsidR="00041F9B">
        <w:rPr>
          <w:sz w:val="24"/>
          <w:szCs w:val="24"/>
          <w:u w:val="single"/>
        </w:rPr>
        <w:t> </w:t>
      </w:r>
      <w:r w:rsidR="00E20F66">
        <w:rPr>
          <w:sz w:val="24"/>
          <w:szCs w:val="24"/>
          <w:u w:val="single"/>
        </w:rPr>
        <w:t>piśmie z dnia 2</w:t>
      </w:r>
      <w:r w:rsidR="008E6A64" w:rsidRPr="00C37847">
        <w:rPr>
          <w:sz w:val="24"/>
          <w:szCs w:val="24"/>
          <w:u w:val="single"/>
        </w:rPr>
        <w:t>5 marca 2014 r.</w:t>
      </w:r>
      <w:r w:rsidR="008E6A64" w:rsidRPr="00C37847">
        <w:rPr>
          <w:sz w:val="24"/>
          <w:szCs w:val="24"/>
        </w:rPr>
        <w:t xml:space="preserve"> </w:t>
      </w:r>
      <w:r w:rsidR="009A521B" w:rsidRPr="00C37847">
        <w:rPr>
          <w:sz w:val="24"/>
          <w:szCs w:val="24"/>
        </w:rPr>
        <w:t xml:space="preserve">[w załączeniu] </w:t>
      </w:r>
      <w:r w:rsidR="008E6A64" w:rsidRPr="00C37847">
        <w:rPr>
          <w:sz w:val="24"/>
          <w:szCs w:val="24"/>
        </w:rPr>
        <w:t xml:space="preserve">w sprawie wsparcia ze środków budżetu państwa podmiotów realizujących zadania w zakresie rozwoju instytucji opieki nad dziećmi w wieku do lat trzech (żłobków, klubów dziecięcych) </w:t>
      </w:r>
      <w:r w:rsidR="009A521B" w:rsidRPr="00C37847">
        <w:rPr>
          <w:sz w:val="24"/>
          <w:szCs w:val="24"/>
          <w:u w:val="single"/>
        </w:rPr>
        <w:t xml:space="preserve">należy stosować analogicznie, tzn. mając na uwadze konstrukcję polskiego systemu opieki nad dziećmi </w:t>
      </w:r>
      <w:r w:rsidR="008A71F7" w:rsidRPr="00C37847">
        <w:rPr>
          <w:sz w:val="24"/>
          <w:szCs w:val="24"/>
          <w:u w:val="single"/>
        </w:rPr>
        <w:t>opartego na przepisach ustaw</w:t>
      </w:r>
      <w:r w:rsidR="007A14C4">
        <w:rPr>
          <w:sz w:val="24"/>
          <w:szCs w:val="24"/>
          <w:u w:val="single"/>
        </w:rPr>
        <w:t>y</w:t>
      </w:r>
      <w:r w:rsidR="007A14C4" w:rsidRPr="007A14C4">
        <w:rPr>
          <w:rFonts w:asciiTheme="minorHAnsi" w:eastAsiaTheme="minorHAnsi" w:hAnsiTheme="minorHAnsi" w:cstheme="minorBidi"/>
        </w:rPr>
        <w:t xml:space="preserve"> </w:t>
      </w:r>
      <w:r w:rsidR="007A14C4" w:rsidRPr="007A14C4">
        <w:rPr>
          <w:sz w:val="24"/>
          <w:szCs w:val="24"/>
          <w:u w:val="single"/>
        </w:rPr>
        <w:t>z dnia 4 lutego 2011 r. o opiece nad dziećmi w wieku do lat 3 (tekst jedn.: Dz. U. z 2016 r. poz.</w:t>
      </w:r>
      <w:r w:rsidR="007A14C4">
        <w:rPr>
          <w:sz w:val="24"/>
          <w:szCs w:val="24"/>
          <w:u w:val="single"/>
        </w:rPr>
        <w:t xml:space="preserve"> </w:t>
      </w:r>
      <w:r w:rsidR="007A14C4" w:rsidRPr="007A14C4">
        <w:rPr>
          <w:sz w:val="24"/>
          <w:szCs w:val="24"/>
          <w:u w:val="single"/>
        </w:rPr>
        <w:t>157)</w:t>
      </w:r>
      <w:r w:rsidR="009A521B" w:rsidRPr="00C37847">
        <w:rPr>
          <w:sz w:val="24"/>
          <w:szCs w:val="24"/>
          <w:u w:val="single"/>
        </w:rPr>
        <w:t xml:space="preserve">, należy zauważyć, że przedmiotowa działalność stanowi </w:t>
      </w:r>
      <w:r w:rsidR="008A71F7" w:rsidRPr="00C37847">
        <w:rPr>
          <w:sz w:val="24"/>
          <w:szCs w:val="24"/>
          <w:u w:val="single"/>
        </w:rPr>
        <w:t xml:space="preserve">realizację obowiązku państwa w zakresie zapewnienia dostępu do opieki i wychowania i jest w zakresie (wskazanym w ww. ustawie) finansowana przez państwo, także w odniesieniu do placówek niepublicznych (jednocześnie, w praktyce działalność ta nie ma charakteru </w:t>
      </w:r>
      <w:proofErr w:type="spellStart"/>
      <w:r w:rsidR="008A71F7" w:rsidRPr="00C37847">
        <w:rPr>
          <w:sz w:val="24"/>
          <w:szCs w:val="24"/>
          <w:u w:val="single"/>
        </w:rPr>
        <w:t>transgranicznego</w:t>
      </w:r>
      <w:proofErr w:type="spellEnd"/>
      <w:r w:rsidR="008A71F7" w:rsidRPr="00C37847">
        <w:rPr>
          <w:sz w:val="24"/>
          <w:szCs w:val="24"/>
          <w:u w:val="single"/>
        </w:rPr>
        <w:t xml:space="preserve"> (ma zasięg lokalny)),</w:t>
      </w:r>
      <w:r w:rsidR="007036E7" w:rsidRPr="00C37847">
        <w:rPr>
          <w:sz w:val="24"/>
          <w:szCs w:val="24"/>
          <w:u w:val="single"/>
        </w:rPr>
        <w:t xml:space="preserve"> w związku z powyższym</w:t>
      </w:r>
      <w:r w:rsidR="008A71F7" w:rsidRPr="00C37847">
        <w:rPr>
          <w:sz w:val="24"/>
          <w:szCs w:val="24"/>
          <w:u w:val="single"/>
        </w:rPr>
        <w:t xml:space="preserve"> </w:t>
      </w:r>
      <w:r w:rsidR="007036E7" w:rsidRPr="00C37847">
        <w:rPr>
          <w:sz w:val="24"/>
          <w:szCs w:val="24"/>
          <w:u w:val="single"/>
        </w:rPr>
        <w:t xml:space="preserve">dofinansowanie w ramach RPO WD 2014-2020 </w:t>
      </w:r>
      <w:r w:rsidR="007036E7" w:rsidRPr="00C37847">
        <w:rPr>
          <w:b/>
          <w:sz w:val="24"/>
          <w:szCs w:val="24"/>
          <w:u w:val="single"/>
        </w:rPr>
        <w:t>nie będzie podlegało – co do zasady – przepisom pomocy publicznej</w:t>
      </w:r>
      <w:r w:rsidR="007036E7" w:rsidRPr="00C37847">
        <w:rPr>
          <w:sz w:val="24"/>
          <w:szCs w:val="24"/>
          <w:u w:val="single"/>
        </w:rPr>
        <w:t>.</w:t>
      </w:r>
    </w:p>
    <w:p w:rsidR="008E6A64" w:rsidRPr="00C37847" w:rsidRDefault="008E6A64" w:rsidP="008E6A64">
      <w:pPr>
        <w:spacing w:before="120" w:after="120" w:line="240" w:lineRule="auto"/>
        <w:jc w:val="both"/>
        <w:rPr>
          <w:sz w:val="24"/>
          <w:szCs w:val="24"/>
        </w:rPr>
      </w:pPr>
      <w:r w:rsidRPr="00C37847">
        <w:rPr>
          <w:sz w:val="24"/>
          <w:szCs w:val="24"/>
        </w:rPr>
        <w:br/>
        <w:t xml:space="preserve">Jednocześnie należy mieć na uwadze, </w:t>
      </w:r>
      <w:r w:rsidR="00C37847">
        <w:rPr>
          <w:sz w:val="24"/>
          <w:szCs w:val="24"/>
        </w:rPr>
        <w:t xml:space="preserve">że istnieje </w:t>
      </w:r>
      <w:r w:rsidR="00C37847" w:rsidRPr="00C37847">
        <w:rPr>
          <w:sz w:val="24"/>
          <w:szCs w:val="24"/>
        </w:rPr>
        <w:t>możliwość realizacji projektów „mieszanych”, tzn. objętych w części pomocą publiczną, a w części wsparciem niestanowiącym pomocy.</w:t>
      </w:r>
      <w:r w:rsidR="007A14C4">
        <w:rPr>
          <w:sz w:val="24"/>
          <w:szCs w:val="24"/>
        </w:rPr>
        <w:t xml:space="preserve"> </w:t>
      </w:r>
      <w:r w:rsidR="00C37847">
        <w:rPr>
          <w:sz w:val="24"/>
          <w:szCs w:val="24"/>
        </w:rPr>
        <w:t>W</w:t>
      </w:r>
      <w:r w:rsidRPr="00C37847">
        <w:rPr>
          <w:sz w:val="24"/>
          <w:szCs w:val="24"/>
        </w:rPr>
        <w:t>ykorzystywanie dofinansowanej infrastruktury w</w:t>
      </w:r>
      <w:r w:rsidR="00C37847">
        <w:rPr>
          <w:sz w:val="24"/>
          <w:szCs w:val="24"/>
        </w:rPr>
        <w:t> </w:t>
      </w:r>
      <w:r w:rsidRPr="00C37847">
        <w:rPr>
          <w:sz w:val="24"/>
          <w:szCs w:val="24"/>
        </w:rPr>
        <w:t>ramach ww. placówek w celach komercyjnych i innych nie mieszczących się w zakresie realizacji zadań publicznych, o których mowa w ww. ustawie, będzie powodowało powstanie obowiązku stosowania przepisów dotyczących pomocy publicznej w stosunku do wsparcia na prowadzenie tych placówek. Jeśli zatem</w:t>
      </w:r>
      <w:r w:rsidR="007036E7" w:rsidRPr="00C37847">
        <w:rPr>
          <w:sz w:val="24"/>
          <w:szCs w:val="24"/>
        </w:rPr>
        <w:t>,</w:t>
      </w:r>
      <w:r w:rsidRPr="00C37847">
        <w:rPr>
          <w:sz w:val="24"/>
          <w:szCs w:val="24"/>
        </w:rPr>
        <w:t xml:space="preserve"> przykładowo</w:t>
      </w:r>
      <w:r w:rsidR="007036E7" w:rsidRPr="00C37847">
        <w:rPr>
          <w:sz w:val="24"/>
          <w:szCs w:val="24"/>
        </w:rPr>
        <w:t>,</w:t>
      </w:r>
      <w:r w:rsidRPr="00C37847">
        <w:rPr>
          <w:sz w:val="24"/>
          <w:szCs w:val="24"/>
        </w:rPr>
        <w:t xml:space="preserve"> wspierana placówka prowadzi zarówno działalność opiekuńczą na podstawie </w:t>
      </w:r>
      <w:r w:rsidRPr="00C37847">
        <w:rPr>
          <w:iCs/>
          <w:sz w:val="24"/>
          <w:szCs w:val="24"/>
        </w:rPr>
        <w:t>ustawy o opiece nad dziećmi w wieku do lat 3</w:t>
      </w:r>
      <w:r w:rsidRPr="00C37847">
        <w:rPr>
          <w:sz w:val="24"/>
          <w:szCs w:val="24"/>
        </w:rPr>
        <w:t>, jak i działalność komercyjną, a wsparcie dotyczy obydwu działalności (np. sprzęty biurowe będą wykorzystywane w związku z prowadzeniem działalności komercyjnej),</w:t>
      </w:r>
      <w:r w:rsidRPr="00C37847">
        <w:rPr>
          <w:b/>
          <w:bCs/>
          <w:sz w:val="24"/>
          <w:szCs w:val="24"/>
        </w:rPr>
        <w:t xml:space="preserve"> należy oba rodzaje działalności rozdzielić</w:t>
      </w:r>
      <w:r w:rsidRPr="00C37847">
        <w:rPr>
          <w:sz w:val="24"/>
          <w:szCs w:val="24"/>
        </w:rPr>
        <w:t xml:space="preserve">. Przedmiotowy rozdział ma na celu uniknięcie subsydiowania krzyżowego i powinien prowadzić do wyraźnego wyodrębnienia kosztów i finansowania działalności tak, aby ze środków publicznych nie finansować przedsięwzięć zakłócających lub grożących zakłóceniem konkurencji oraz wpływających na wymianę handlową na rynku wewnętrznym UE (bowiem wówczas do finansowania ze środków publicznych będą miały </w:t>
      </w:r>
      <w:r w:rsidRPr="00C37847">
        <w:rPr>
          <w:sz w:val="24"/>
          <w:szCs w:val="24"/>
        </w:rPr>
        <w:lastRenderedPageBreak/>
        <w:t>zastosowanie przepisy o pomocy publicznej). W powyższej sytuacji konieczne jest prowadzenie w ramach ksiąg rachunkowych podmiotu odrębnej ewidencji dla usług świadczonych w ramach publicznego systemu opiekuńczego oraz dla usług komercyjnych w</w:t>
      </w:r>
      <w:r w:rsidR="00C37847">
        <w:rPr>
          <w:sz w:val="24"/>
          <w:szCs w:val="24"/>
        </w:rPr>
        <w:t> </w:t>
      </w:r>
      <w:r w:rsidRPr="00C37847">
        <w:rPr>
          <w:sz w:val="24"/>
          <w:szCs w:val="24"/>
        </w:rPr>
        <w:t xml:space="preserve">tym prawidłowe przypisywanie przychodów i kosztów związanych z działalnością wspieraną oraz pozostałą działalnością na podstawie konsekwentnie stosowanych i mających obiektywne uzasadnienie metod (zgodnie z art. 2 pkt 8 w związku z art. 8 </w:t>
      </w:r>
      <w:r w:rsidRPr="00C37847">
        <w:rPr>
          <w:iCs/>
          <w:sz w:val="24"/>
          <w:szCs w:val="24"/>
        </w:rPr>
        <w:t>ustawy z dnia 22 września 2006 r. o przejrzystości stosunków finansowych pomiędzy organami publicznymi a</w:t>
      </w:r>
      <w:r w:rsidR="007A14C4">
        <w:rPr>
          <w:iCs/>
          <w:sz w:val="24"/>
          <w:szCs w:val="24"/>
        </w:rPr>
        <w:t> </w:t>
      </w:r>
      <w:r w:rsidRPr="00C37847">
        <w:rPr>
          <w:iCs/>
          <w:sz w:val="24"/>
          <w:szCs w:val="24"/>
        </w:rPr>
        <w:t>przedsiębiorcami publicznymi oraz o przejrzystości finansowej niektórych przedsiębiorców (Dz. U. Nr 191, poz. 1411</w:t>
      </w:r>
      <w:r w:rsidR="007A14C4">
        <w:rPr>
          <w:iCs/>
          <w:sz w:val="24"/>
          <w:szCs w:val="24"/>
        </w:rPr>
        <w:t>,</w:t>
      </w:r>
      <w:r w:rsidRPr="00C37847">
        <w:rPr>
          <w:iCs/>
          <w:sz w:val="24"/>
          <w:szCs w:val="24"/>
        </w:rPr>
        <w:t xml:space="preserve"> z</w:t>
      </w:r>
      <w:r w:rsidR="007A14C4">
        <w:rPr>
          <w:iCs/>
          <w:sz w:val="24"/>
          <w:szCs w:val="24"/>
        </w:rPr>
        <w:t xml:space="preserve"> późn.</w:t>
      </w:r>
      <w:r w:rsidRPr="00C37847">
        <w:rPr>
          <w:iCs/>
          <w:sz w:val="24"/>
          <w:szCs w:val="24"/>
        </w:rPr>
        <w:t xml:space="preserve"> zm.)</w:t>
      </w:r>
      <w:r w:rsidRPr="00C37847">
        <w:rPr>
          <w:sz w:val="24"/>
          <w:szCs w:val="24"/>
        </w:rPr>
        <w:t>).</w:t>
      </w:r>
    </w:p>
    <w:p w:rsidR="008E6A64" w:rsidRPr="00C37847" w:rsidRDefault="008E6A64" w:rsidP="00F05B1F">
      <w:pPr>
        <w:spacing w:before="120" w:after="120" w:line="240" w:lineRule="auto"/>
        <w:jc w:val="both"/>
        <w:rPr>
          <w:sz w:val="24"/>
          <w:szCs w:val="24"/>
        </w:rPr>
      </w:pPr>
    </w:p>
    <w:p w:rsidR="006C598A" w:rsidRPr="00C37847" w:rsidRDefault="006C598A" w:rsidP="001F3711">
      <w:pPr>
        <w:spacing w:before="120" w:after="120" w:line="240" w:lineRule="auto"/>
        <w:jc w:val="both"/>
        <w:rPr>
          <w:sz w:val="24"/>
          <w:szCs w:val="24"/>
        </w:rPr>
      </w:pPr>
      <w:r w:rsidRPr="00C37847">
        <w:rPr>
          <w:b/>
          <w:sz w:val="24"/>
          <w:szCs w:val="24"/>
        </w:rPr>
        <w:t>2)</w:t>
      </w:r>
      <w:r w:rsidRPr="00C37847">
        <w:rPr>
          <w:sz w:val="24"/>
          <w:szCs w:val="24"/>
        </w:rPr>
        <w:t xml:space="preserve"> W związku z</w:t>
      </w:r>
      <w:r w:rsidR="002B1DC3" w:rsidRPr="00C37847">
        <w:rPr>
          <w:sz w:val="24"/>
          <w:szCs w:val="24"/>
        </w:rPr>
        <w:t xml:space="preserve"> zaistniałą</w:t>
      </w:r>
      <w:r w:rsidRPr="00C37847">
        <w:rPr>
          <w:sz w:val="24"/>
          <w:szCs w:val="24"/>
        </w:rPr>
        <w:t xml:space="preserve"> omyłką </w:t>
      </w:r>
      <w:r w:rsidR="002B1DC3" w:rsidRPr="00C37847">
        <w:rPr>
          <w:sz w:val="24"/>
          <w:szCs w:val="24"/>
        </w:rPr>
        <w:t xml:space="preserve">pisarską w Załączniku nr 1 do Regulaminu konkursu dla naboru nr RPDS.06.01.03-IZ.00-02-102/16 </w:t>
      </w:r>
      <w:r w:rsidR="007A5E9E" w:rsidRPr="00C37847">
        <w:rPr>
          <w:sz w:val="24"/>
          <w:szCs w:val="24"/>
        </w:rPr>
        <w:t>dla Działania 6.1 Inwestycje w infrastrukturę społeczną – ZIT AJ – 6.1.C Budowa, remont, przebudowa, rozbudowa, wyposażenie, modernizacja oraz adaptacja infrastruktury prowadzonej przez podmioty opieki nad dziećmi do 3 roku życia (np. żłobki, kluby malucha) –</w:t>
      </w:r>
      <w:r w:rsidR="007A5E9E" w:rsidRPr="00C37847">
        <w:rPr>
          <w:bCs/>
          <w:sz w:val="24"/>
          <w:szCs w:val="24"/>
        </w:rPr>
        <w:t xml:space="preserve"> IOK </w:t>
      </w:r>
      <w:r w:rsidR="002B1DC3" w:rsidRPr="00C37847">
        <w:rPr>
          <w:sz w:val="24"/>
          <w:szCs w:val="24"/>
        </w:rPr>
        <w:t xml:space="preserve">wskazuje </w:t>
      </w:r>
      <w:r w:rsidR="007A5E9E" w:rsidRPr="00C37847">
        <w:rPr>
          <w:sz w:val="24"/>
          <w:szCs w:val="24"/>
        </w:rPr>
        <w:t>właści</w:t>
      </w:r>
      <w:r w:rsidR="002B1DC3" w:rsidRPr="00C37847">
        <w:rPr>
          <w:sz w:val="24"/>
          <w:szCs w:val="24"/>
        </w:rPr>
        <w:t>wą punktację</w:t>
      </w:r>
      <w:r w:rsidR="001F3711" w:rsidRPr="00C37847">
        <w:rPr>
          <w:sz w:val="24"/>
          <w:szCs w:val="24"/>
        </w:rPr>
        <w:t xml:space="preserve"> </w:t>
      </w:r>
      <w:r w:rsidRPr="00C37847">
        <w:rPr>
          <w:rFonts w:eastAsia="Times New Roman" w:cs="Tahoma"/>
          <w:kern w:val="1"/>
          <w:sz w:val="24"/>
          <w:szCs w:val="24"/>
        </w:rPr>
        <w:t xml:space="preserve">do </w:t>
      </w:r>
      <w:r w:rsidRPr="00C37847">
        <w:rPr>
          <w:rFonts w:eastAsia="Times New Roman" w:cs="Tahoma"/>
          <w:b/>
          <w:kern w:val="1"/>
          <w:sz w:val="24"/>
          <w:szCs w:val="24"/>
        </w:rPr>
        <w:t>kr</w:t>
      </w:r>
      <w:r w:rsidR="007A5E9E" w:rsidRPr="00C37847">
        <w:rPr>
          <w:rFonts w:eastAsia="Times New Roman" w:cs="Tahoma"/>
          <w:b/>
          <w:kern w:val="1"/>
          <w:sz w:val="24"/>
          <w:szCs w:val="24"/>
        </w:rPr>
        <w:t xml:space="preserve">yterium nr 3 Wpływ projektu na </w:t>
      </w:r>
      <w:r w:rsidRPr="00C37847">
        <w:rPr>
          <w:rFonts w:eastAsia="Times New Roman" w:cs="Tahoma"/>
          <w:b/>
          <w:kern w:val="1"/>
          <w:sz w:val="24"/>
          <w:szCs w:val="24"/>
        </w:rPr>
        <w:t>realizację Strategii ZIT</w:t>
      </w:r>
      <w:r w:rsidR="007A5E9E" w:rsidRPr="00C37847">
        <w:rPr>
          <w:sz w:val="24"/>
          <w:szCs w:val="24"/>
        </w:rPr>
        <w:t xml:space="preserve"> w ramach </w:t>
      </w:r>
      <w:r w:rsidR="007A5E9E" w:rsidRPr="00C37847">
        <w:rPr>
          <w:bCs/>
          <w:sz w:val="24"/>
          <w:szCs w:val="24"/>
          <w:u w:val="single"/>
        </w:rPr>
        <w:t>Kryteriów</w:t>
      </w:r>
      <w:r w:rsidR="007A5E9E" w:rsidRPr="00C37847">
        <w:rPr>
          <w:sz w:val="24"/>
          <w:szCs w:val="24"/>
          <w:u w:val="single"/>
        </w:rPr>
        <w:t xml:space="preserve"> </w:t>
      </w:r>
      <w:r w:rsidR="007A5E9E" w:rsidRPr="00C37847">
        <w:rPr>
          <w:bCs/>
          <w:sz w:val="24"/>
          <w:szCs w:val="24"/>
          <w:u w:val="single"/>
        </w:rPr>
        <w:t>oceny zgodności projektów ze Strategią ZIT</w:t>
      </w:r>
      <w:r w:rsidR="001F3711" w:rsidRPr="00C37847">
        <w:rPr>
          <w:rFonts w:eastAsia="Times New Roman" w:cs="Tahoma"/>
          <w:b/>
          <w:kern w:val="1"/>
          <w:sz w:val="24"/>
          <w:szCs w:val="24"/>
        </w:rPr>
        <w:t>:</w:t>
      </w:r>
    </w:p>
    <w:p w:rsidR="006C598A" w:rsidRPr="00C37847" w:rsidRDefault="006C598A" w:rsidP="006C598A">
      <w:pPr>
        <w:spacing w:after="0" w:line="240" w:lineRule="auto"/>
        <w:rPr>
          <w:rFonts w:eastAsia="Times New Roman" w:cs="Tahoma"/>
          <w:b/>
          <w:kern w:val="1"/>
          <w:sz w:val="24"/>
          <w:szCs w:val="24"/>
        </w:rPr>
      </w:pPr>
    </w:p>
    <w:tbl>
      <w:tblPr>
        <w:tblStyle w:val="Tabela-Siatka1"/>
        <w:tblW w:w="0" w:type="auto"/>
        <w:tblLook w:val="04A0"/>
      </w:tblPr>
      <w:tblGrid>
        <w:gridCol w:w="3143"/>
        <w:gridCol w:w="3042"/>
        <w:gridCol w:w="3103"/>
      </w:tblGrid>
      <w:tr w:rsidR="006C598A" w:rsidRPr="00C37847" w:rsidTr="00B56B59">
        <w:tc>
          <w:tcPr>
            <w:tcW w:w="4088" w:type="dxa"/>
            <w:vAlign w:val="center"/>
          </w:tcPr>
          <w:p w:rsidR="006C598A" w:rsidRPr="00C37847" w:rsidRDefault="006C598A" w:rsidP="00B56B59">
            <w:pPr>
              <w:jc w:val="center"/>
              <w:rPr>
                <w:rFonts w:eastAsia="Times New Roman" w:cs="Tahoma"/>
                <w:b/>
                <w:kern w:val="1"/>
                <w:sz w:val="24"/>
                <w:szCs w:val="24"/>
              </w:rPr>
            </w:pPr>
            <w:r w:rsidRPr="00C37847">
              <w:rPr>
                <w:rFonts w:eastAsia="Times New Roman" w:cs="Tahoma"/>
                <w:b/>
                <w:kern w:val="1"/>
                <w:sz w:val="24"/>
                <w:szCs w:val="24"/>
              </w:rPr>
              <w:t>Wyszczególnienie – stopień istotności czynnika/elementu</w:t>
            </w:r>
          </w:p>
        </w:tc>
        <w:tc>
          <w:tcPr>
            <w:tcW w:w="4525" w:type="dxa"/>
            <w:vAlign w:val="center"/>
          </w:tcPr>
          <w:p w:rsidR="006C598A" w:rsidRPr="00C37847" w:rsidRDefault="006C598A" w:rsidP="001F3711">
            <w:pPr>
              <w:jc w:val="center"/>
              <w:rPr>
                <w:rFonts w:eastAsia="Times New Roman" w:cs="Tahoma"/>
                <w:b/>
                <w:kern w:val="1"/>
                <w:sz w:val="24"/>
                <w:szCs w:val="24"/>
              </w:rPr>
            </w:pPr>
            <w:r w:rsidRPr="00C37847">
              <w:rPr>
                <w:rFonts w:eastAsia="Times New Roman" w:cs="Tahoma"/>
                <w:b/>
                <w:bCs/>
                <w:kern w:val="1"/>
                <w:sz w:val="24"/>
                <w:szCs w:val="24"/>
              </w:rPr>
              <w:t xml:space="preserve">Wpływ projektu na wypełnienie luki w dostępie do placówek opieki nad dziećmi do lat 3 </w:t>
            </w:r>
            <w:r w:rsidRPr="00C37847">
              <w:rPr>
                <w:rFonts w:eastAsia="Times New Roman" w:cs="Tahoma"/>
                <w:b/>
                <w:kern w:val="1"/>
                <w:sz w:val="24"/>
                <w:szCs w:val="24"/>
              </w:rPr>
              <w:t>na wskazanych w Strategii ZIT AJ obszarach</w:t>
            </w:r>
            <w:r w:rsidRPr="00C37847" w:rsidDel="00884D8A">
              <w:rPr>
                <w:rFonts w:eastAsia="Times New Roman" w:cs="Tahoma"/>
                <w:b/>
                <w:bCs/>
                <w:kern w:val="1"/>
                <w:sz w:val="24"/>
                <w:szCs w:val="24"/>
              </w:rPr>
              <w:t xml:space="preserve"> </w:t>
            </w:r>
          </w:p>
        </w:tc>
        <w:tc>
          <w:tcPr>
            <w:tcW w:w="4536" w:type="dxa"/>
            <w:vAlign w:val="center"/>
          </w:tcPr>
          <w:p w:rsidR="006C598A" w:rsidRPr="00C37847" w:rsidRDefault="006C598A" w:rsidP="001F3711">
            <w:pPr>
              <w:jc w:val="center"/>
              <w:rPr>
                <w:rFonts w:eastAsia="Times New Roman" w:cs="Tahoma"/>
                <w:b/>
                <w:kern w:val="1"/>
                <w:sz w:val="24"/>
                <w:szCs w:val="24"/>
              </w:rPr>
            </w:pPr>
            <w:r w:rsidRPr="00C37847">
              <w:rPr>
                <w:rFonts w:eastAsia="Times New Roman" w:cs="Tahoma"/>
                <w:b/>
                <w:kern w:val="1"/>
                <w:sz w:val="24"/>
                <w:szCs w:val="24"/>
              </w:rPr>
              <w:t xml:space="preserve">Adekwatność celów i działań </w:t>
            </w:r>
            <w:r w:rsidR="001F3711" w:rsidRPr="00C37847">
              <w:rPr>
                <w:rFonts w:eastAsia="Times New Roman" w:cs="Tahoma"/>
                <w:b/>
                <w:kern w:val="1"/>
                <w:sz w:val="24"/>
                <w:szCs w:val="24"/>
              </w:rPr>
              <w:t xml:space="preserve">opisanych </w:t>
            </w:r>
            <w:r w:rsidRPr="00C37847">
              <w:rPr>
                <w:rFonts w:eastAsia="Times New Roman" w:cs="Tahoma"/>
                <w:b/>
                <w:kern w:val="1"/>
                <w:sz w:val="24"/>
                <w:szCs w:val="24"/>
              </w:rPr>
              <w:t>w</w:t>
            </w:r>
            <w:r w:rsidR="001F3711" w:rsidRPr="00C37847">
              <w:rPr>
                <w:rFonts w:eastAsia="Times New Roman" w:cs="Tahoma"/>
                <w:b/>
                <w:kern w:val="1"/>
                <w:sz w:val="24"/>
                <w:szCs w:val="24"/>
              </w:rPr>
              <w:t xml:space="preserve"> </w:t>
            </w:r>
            <w:r w:rsidRPr="00C37847">
              <w:rPr>
                <w:rFonts w:eastAsia="Times New Roman" w:cs="Tahoma"/>
                <w:b/>
                <w:kern w:val="1"/>
                <w:sz w:val="24"/>
                <w:szCs w:val="24"/>
              </w:rPr>
              <w:t xml:space="preserve">projekcie do celów i działań wskazanych w Strategii ZIT AJ </w:t>
            </w:r>
          </w:p>
        </w:tc>
      </w:tr>
      <w:tr w:rsidR="006C598A" w:rsidRPr="00C37847" w:rsidTr="00B56B59">
        <w:tc>
          <w:tcPr>
            <w:tcW w:w="4088" w:type="dxa"/>
          </w:tcPr>
          <w:p w:rsidR="006C598A" w:rsidRPr="00C37847" w:rsidRDefault="006C598A" w:rsidP="00B56B59">
            <w:pPr>
              <w:jc w:val="center"/>
              <w:rPr>
                <w:rFonts w:eastAsia="Times New Roman" w:cs="Tahoma"/>
                <w:b/>
                <w:kern w:val="1"/>
                <w:sz w:val="24"/>
                <w:szCs w:val="24"/>
              </w:rPr>
            </w:pPr>
            <w:r w:rsidRPr="00C37847">
              <w:rPr>
                <w:rFonts w:eastAsia="Times New Roman" w:cs="Tahoma"/>
                <w:b/>
                <w:kern w:val="1"/>
                <w:sz w:val="24"/>
                <w:szCs w:val="24"/>
              </w:rPr>
              <w:t>0 (brak wpływu i wpływ nieznaczący)</w:t>
            </w:r>
          </w:p>
        </w:tc>
        <w:tc>
          <w:tcPr>
            <w:tcW w:w="4525" w:type="dxa"/>
          </w:tcPr>
          <w:p w:rsidR="006C598A" w:rsidRPr="00C37847" w:rsidRDefault="006C598A" w:rsidP="00B56B59">
            <w:pPr>
              <w:jc w:val="center"/>
              <w:rPr>
                <w:rFonts w:eastAsia="Times New Roman" w:cs="Tahoma"/>
                <w:b/>
                <w:kern w:val="1"/>
                <w:sz w:val="24"/>
                <w:szCs w:val="24"/>
              </w:rPr>
            </w:pPr>
            <w:r w:rsidRPr="00C37847">
              <w:rPr>
                <w:rFonts w:eastAsia="Times New Roman" w:cs="Tahoma"/>
                <w:b/>
                <w:kern w:val="1"/>
                <w:sz w:val="24"/>
                <w:szCs w:val="24"/>
              </w:rPr>
              <w:t>0 pkt.</w:t>
            </w:r>
          </w:p>
        </w:tc>
        <w:tc>
          <w:tcPr>
            <w:tcW w:w="4536" w:type="dxa"/>
          </w:tcPr>
          <w:p w:rsidR="006C598A" w:rsidRPr="00C37847" w:rsidRDefault="006C598A" w:rsidP="00B56B59">
            <w:pPr>
              <w:jc w:val="center"/>
              <w:rPr>
                <w:rFonts w:eastAsia="Times New Roman" w:cs="Tahoma"/>
                <w:b/>
                <w:kern w:val="1"/>
                <w:sz w:val="24"/>
                <w:szCs w:val="24"/>
              </w:rPr>
            </w:pPr>
            <w:r w:rsidRPr="00C37847">
              <w:rPr>
                <w:rFonts w:eastAsia="Times New Roman" w:cs="Tahoma"/>
                <w:b/>
                <w:kern w:val="1"/>
                <w:sz w:val="24"/>
                <w:szCs w:val="24"/>
              </w:rPr>
              <w:t>0 pkt.</w:t>
            </w:r>
          </w:p>
        </w:tc>
      </w:tr>
      <w:tr w:rsidR="006C598A" w:rsidRPr="00C37847" w:rsidTr="00B56B59">
        <w:tc>
          <w:tcPr>
            <w:tcW w:w="4088" w:type="dxa"/>
          </w:tcPr>
          <w:p w:rsidR="006C598A" w:rsidRPr="00C37847" w:rsidRDefault="006C598A" w:rsidP="00B56B59">
            <w:pPr>
              <w:jc w:val="center"/>
              <w:rPr>
                <w:rFonts w:eastAsia="Times New Roman" w:cs="Tahoma"/>
                <w:b/>
                <w:kern w:val="1"/>
                <w:sz w:val="24"/>
                <w:szCs w:val="24"/>
              </w:rPr>
            </w:pPr>
            <w:r w:rsidRPr="00C37847">
              <w:rPr>
                <w:rFonts w:eastAsia="Times New Roman" w:cs="Tahoma"/>
                <w:b/>
                <w:kern w:val="1"/>
                <w:sz w:val="24"/>
                <w:szCs w:val="24"/>
              </w:rPr>
              <w:t>25% maksymalnej oceny (niski wpływ)</w:t>
            </w:r>
          </w:p>
        </w:tc>
        <w:tc>
          <w:tcPr>
            <w:tcW w:w="4525" w:type="dxa"/>
          </w:tcPr>
          <w:p w:rsidR="006C598A" w:rsidRPr="00C37847" w:rsidRDefault="006C598A" w:rsidP="00B56B59">
            <w:pPr>
              <w:jc w:val="center"/>
              <w:rPr>
                <w:rFonts w:eastAsia="Times New Roman" w:cs="Tahoma"/>
                <w:b/>
                <w:kern w:val="1"/>
                <w:sz w:val="24"/>
                <w:szCs w:val="24"/>
              </w:rPr>
            </w:pPr>
            <w:r w:rsidRPr="00C37847">
              <w:rPr>
                <w:rFonts w:eastAsia="Times New Roman" w:cs="Tahoma"/>
                <w:b/>
                <w:kern w:val="1"/>
                <w:sz w:val="24"/>
                <w:szCs w:val="24"/>
              </w:rPr>
              <w:t>2,5 pkt.</w:t>
            </w:r>
          </w:p>
        </w:tc>
        <w:tc>
          <w:tcPr>
            <w:tcW w:w="4536" w:type="dxa"/>
          </w:tcPr>
          <w:p w:rsidR="006C598A" w:rsidRPr="00C37847" w:rsidRDefault="006C598A" w:rsidP="00B56B59">
            <w:pPr>
              <w:jc w:val="center"/>
              <w:rPr>
                <w:rFonts w:eastAsia="Times New Roman" w:cs="Tahoma"/>
                <w:b/>
                <w:kern w:val="1"/>
                <w:sz w:val="24"/>
                <w:szCs w:val="24"/>
              </w:rPr>
            </w:pPr>
            <w:r w:rsidRPr="00C37847">
              <w:rPr>
                <w:rFonts w:eastAsia="Times New Roman" w:cs="Tahoma"/>
                <w:b/>
                <w:kern w:val="1"/>
                <w:sz w:val="24"/>
                <w:szCs w:val="24"/>
              </w:rPr>
              <w:t>2,37</w:t>
            </w:r>
            <w:r w:rsidR="00DC30B3">
              <w:rPr>
                <w:rFonts w:eastAsia="Times New Roman" w:cs="Tahoma"/>
                <w:b/>
                <w:kern w:val="1"/>
                <w:sz w:val="24"/>
                <w:szCs w:val="24"/>
              </w:rPr>
              <w:t xml:space="preserve"> </w:t>
            </w:r>
            <w:r w:rsidRPr="00C37847">
              <w:rPr>
                <w:rFonts w:eastAsia="Times New Roman" w:cs="Tahoma"/>
                <w:b/>
                <w:kern w:val="1"/>
                <w:sz w:val="24"/>
                <w:szCs w:val="24"/>
              </w:rPr>
              <w:t>pkt.</w:t>
            </w:r>
          </w:p>
        </w:tc>
      </w:tr>
      <w:tr w:rsidR="006C598A" w:rsidRPr="00C37847" w:rsidTr="00B56B59">
        <w:tc>
          <w:tcPr>
            <w:tcW w:w="4088" w:type="dxa"/>
          </w:tcPr>
          <w:p w:rsidR="006C598A" w:rsidRPr="00C37847" w:rsidRDefault="006C598A" w:rsidP="00B56B59">
            <w:pPr>
              <w:jc w:val="center"/>
              <w:rPr>
                <w:rFonts w:eastAsia="Times New Roman" w:cs="Tahoma"/>
                <w:b/>
                <w:kern w:val="1"/>
                <w:sz w:val="24"/>
                <w:szCs w:val="24"/>
              </w:rPr>
            </w:pPr>
            <w:r w:rsidRPr="00C37847">
              <w:rPr>
                <w:rFonts w:eastAsia="Times New Roman" w:cs="Tahoma"/>
                <w:b/>
                <w:kern w:val="1"/>
                <w:sz w:val="24"/>
                <w:szCs w:val="24"/>
              </w:rPr>
              <w:t>50% maksymalnej oceny (średni wpływ)</w:t>
            </w:r>
          </w:p>
        </w:tc>
        <w:tc>
          <w:tcPr>
            <w:tcW w:w="4525" w:type="dxa"/>
          </w:tcPr>
          <w:p w:rsidR="006C598A" w:rsidRPr="00C37847" w:rsidRDefault="006C598A" w:rsidP="00B56B59">
            <w:pPr>
              <w:jc w:val="center"/>
              <w:rPr>
                <w:rFonts w:eastAsia="Times New Roman" w:cs="Tahoma"/>
                <w:b/>
                <w:kern w:val="1"/>
                <w:sz w:val="24"/>
                <w:szCs w:val="24"/>
              </w:rPr>
            </w:pPr>
            <w:r w:rsidRPr="00C37847">
              <w:rPr>
                <w:rFonts w:eastAsia="Times New Roman" w:cs="Tahoma"/>
                <w:b/>
                <w:kern w:val="1"/>
                <w:sz w:val="24"/>
                <w:szCs w:val="24"/>
              </w:rPr>
              <w:t>5 pkt.</w:t>
            </w:r>
          </w:p>
        </w:tc>
        <w:tc>
          <w:tcPr>
            <w:tcW w:w="4536" w:type="dxa"/>
          </w:tcPr>
          <w:p w:rsidR="006C598A" w:rsidRPr="00C37847" w:rsidRDefault="006C598A" w:rsidP="00B56B59">
            <w:pPr>
              <w:jc w:val="center"/>
              <w:rPr>
                <w:rFonts w:eastAsia="Times New Roman" w:cs="Tahoma"/>
                <w:b/>
                <w:kern w:val="1"/>
                <w:sz w:val="24"/>
                <w:szCs w:val="24"/>
              </w:rPr>
            </w:pPr>
            <w:r w:rsidRPr="00C37847">
              <w:rPr>
                <w:rFonts w:eastAsia="Times New Roman" w:cs="Tahoma"/>
                <w:b/>
                <w:kern w:val="1"/>
                <w:sz w:val="24"/>
                <w:szCs w:val="24"/>
              </w:rPr>
              <w:t>4,75</w:t>
            </w:r>
            <w:r w:rsidR="00DC30B3">
              <w:rPr>
                <w:rFonts w:eastAsia="Times New Roman" w:cs="Tahoma"/>
                <w:b/>
                <w:kern w:val="1"/>
                <w:sz w:val="24"/>
                <w:szCs w:val="24"/>
              </w:rPr>
              <w:t xml:space="preserve"> </w:t>
            </w:r>
            <w:r w:rsidRPr="00C37847">
              <w:rPr>
                <w:rFonts w:eastAsia="Times New Roman" w:cs="Tahoma"/>
                <w:b/>
                <w:kern w:val="1"/>
                <w:sz w:val="24"/>
                <w:szCs w:val="24"/>
              </w:rPr>
              <w:t>pkt.</w:t>
            </w:r>
          </w:p>
        </w:tc>
      </w:tr>
      <w:tr w:rsidR="006C598A" w:rsidRPr="00C37847" w:rsidTr="00B56B59">
        <w:tc>
          <w:tcPr>
            <w:tcW w:w="4088" w:type="dxa"/>
          </w:tcPr>
          <w:p w:rsidR="006C598A" w:rsidRPr="00C37847" w:rsidRDefault="006C598A" w:rsidP="00B56B59">
            <w:pPr>
              <w:jc w:val="center"/>
              <w:rPr>
                <w:rFonts w:eastAsia="Times New Roman" w:cs="Tahoma"/>
                <w:b/>
                <w:kern w:val="1"/>
                <w:sz w:val="24"/>
                <w:szCs w:val="24"/>
              </w:rPr>
            </w:pPr>
            <w:r w:rsidRPr="00C37847">
              <w:rPr>
                <w:rFonts w:eastAsia="Times New Roman" w:cs="Tahoma"/>
                <w:b/>
                <w:kern w:val="1"/>
                <w:sz w:val="24"/>
                <w:szCs w:val="24"/>
              </w:rPr>
              <w:t>100% maksymalnej oceny (wysoki wpływ)</w:t>
            </w:r>
          </w:p>
        </w:tc>
        <w:tc>
          <w:tcPr>
            <w:tcW w:w="4525" w:type="dxa"/>
          </w:tcPr>
          <w:p w:rsidR="006C598A" w:rsidRPr="00C37847" w:rsidRDefault="006C598A" w:rsidP="00B56B59">
            <w:pPr>
              <w:jc w:val="center"/>
              <w:rPr>
                <w:rFonts w:eastAsia="Times New Roman" w:cs="Tahoma"/>
                <w:b/>
                <w:kern w:val="1"/>
                <w:sz w:val="24"/>
                <w:szCs w:val="24"/>
              </w:rPr>
            </w:pPr>
            <w:r w:rsidRPr="00C37847">
              <w:rPr>
                <w:rFonts w:eastAsia="Times New Roman" w:cs="Tahoma"/>
                <w:b/>
                <w:kern w:val="1"/>
                <w:sz w:val="24"/>
                <w:szCs w:val="24"/>
              </w:rPr>
              <w:t>10 pkt.</w:t>
            </w:r>
          </w:p>
        </w:tc>
        <w:tc>
          <w:tcPr>
            <w:tcW w:w="4536" w:type="dxa"/>
          </w:tcPr>
          <w:p w:rsidR="006C598A" w:rsidRPr="00C37847" w:rsidRDefault="006C598A" w:rsidP="00B56B59">
            <w:pPr>
              <w:jc w:val="center"/>
              <w:rPr>
                <w:rFonts w:eastAsia="Times New Roman" w:cs="Tahoma"/>
                <w:b/>
                <w:kern w:val="1"/>
                <w:sz w:val="24"/>
                <w:szCs w:val="24"/>
              </w:rPr>
            </w:pPr>
            <w:r w:rsidRPr="00C37847">
              <w:rPr>
                <w:rFonts w:eastAsia="Times New Roman" w:cs="Tahoma"/>
                <w:b/>
                <w:kern w:val="1"/>
                <w:sz w:val="24"/>
                <w:szCs w:val="24"/>
              </w:rPr>
              <w:t>9,50 pkt.</w:t>
            </w:r>
          </w:p>
        </w:tc>
      </w:tr>
      <w:tr w:rsidR="006C598A" w:rsidRPr="00C37847" w:rsidTr="00B56B59">
        <w:tc>
          <w:tcPr>
            <w:tcW w:w="4088" w:type="dxa"/>
          </w:tcPr>
          <w:p w:rsidR="006C598A" w:rsidRPr="00C37847" w:rsidRDefault="006C598A" w:rsidP="00B56B59">
            <w:pPr>
              <w:jc w:val="center"/>
              <w:rPr>
                <w:rFonts w:eastAsia="Times New Roman" w:cs="Tahoma"/>
                <w:b/>
                <w:kern w:val="1"/>
                <w:sz w:val="24"/>
                <w:szCs w:val="24"/>
              </w:rPr>
            </w:pPr>
            <w:r w:rsidRPr="00C37847">
              <w:rPr>
                <w:rFonts w:eastAsia="Times New Roman" w:cs="Tahoma"/>
                <w:b/>
                <w:kern w:val="1"/>
                <w:sz w:val="24"/>
                <w:szCs w:val="24"/>
              </w:rPr>
              <w:t>Ocena: (max 19, 50 pkt. – 100%)</w:t>
            </w:r>
          </w:p>
        </w:tc>
        <w:tc>
          <w:tcPr>
            <w:tcW w:w="4525" w:type="dxa"/>
          </w:tcPr>
          <w:p w:rsidR="006C598A" w:rsidRPr="00C37847" w:rsidRDefault="006C598A" w:rsidP="00B56B59">
            <w:pPr>
              <w:jc w:val="center"/>
              <w:rPr>
                <w:rFonts w:eastAsia="Times New Roman" w:cs="Tahoma"/>
                <w:b/>
                <w:kern w:val="1"/>
                <w:sz w:val="24"/>
                <w:szCs w:val="24"/>
              </w:rPr>
            </w:pPr>
            <w:r w:rsidRPr="00C37847">
              <w:rPr>
                <w:rFonts w:eastAsia="Times New Roman" w:cs="Tahoma"/>
                <w:b/>
                <w:kern w:val="1"/>
                <w:sz w:val="24"/>
                <w:szCs w:val="24"/>
              </w:rPr>
              <w:t>10 pkt.</w:t>
            </w:r>
          </w:p>
          <w:p w:rsidR="006C598A" w:rsidRPr="00C37847" w:rsidRDefault="006C598A" w:rsidP="00B56B59">
            <w:pPr>
              <w:jc w:val="center"/>
              <w:rPr>
                <w:rFonts w:eastAsia="Times New Roman" w:cs="Tahoma"/>
                <w:b/>
                <w:kern w:val="1"/>
                <w:sz w:val="24"/>
                <w:szCs w:val="24"/>
              </w:rPr>
            </w:pPr>
          </w:p>
        </w:tc>
        <w:tc>
          <w:tcPr>
            <w:tcW w:w="4536" w:type="dxa"/>
          </w:tcPr>
          <w:p w:rsidR="006C598A" w:rsidRPr="00C37847" w:rsidRDefault="006C598A" w:rsidP="00B56B59">
            <w:pPr>
              <w:jc w:val="center"/>
              <w:rPr>
                <w:rFonts w:eastAsia="Times New Roman" w:cs="Tahoma"/>
                <w:b/>
                <w:kern w:val="1"/>
                <w:sz w:val="24"/>
                <w:szCs w:val="24"/>
              </w:rPr>
            </w:pPr>
            <w:r w:rsidRPr="00C37847">
              <w:rPr>
                <w:rFonts w:eastAsia="Times New Roman" w:cs="Tahoma"/>
                <w:b/>
                <w:kern w:val="1"/>
                <w:sz w:val="24"/>
                <w:szCs w:val="24"/>
              </w:rPr>
              <w:t>9,50 pkt.</w:t>
            </w:r>
          </w:p>
        </w:tc>
      </w:tr>
    </w:tbl>
    <w:p w:rsidR="00C2069D" w:rsidRDefault="00C2069D" w:rsidP="00F05B1F">
      <w:pPr>
        <w:spacing w:before="120" w:after="120" w:line="240" w:lineRule="auto"/>
        <w:jc w:val="both"/>
        <w:rPr>
          <w:sz w:val="24"/>
          <w:szCs w:val="24"/>
        </w:rPr>
      </w:pPr>
    </w:p>
    <w:p w:rsidR="00E20F66" w:rsidRDefault="00E20F66" w:rsidP="00F05B1F">
      <w:pPr>
        <w:spacing w:before="120" w:after="120" w:line="240" w:lineRule="auto"/>
        <w:jc w:val="both"/>
        <w:rPr>
          <w:sz w:val="24"/>
          <w:szCs w:val="24"/>
        </w:rPr>
      </w:pPr>
    </w:p>
    <w:p w:rsidR="00E20F66" w:rsidRDefault="00E20F66" w:rsidP="00F05B1F">
      <w:pPr>
        <w:spacing w:before="120" w:after="120" w:line="240" w:lineRule="auto"/>
        <w:jc w:val="both"/>
        <w:rPr>
          <w:sz w:val="24"/>
          <w:szCs w:val="24"/>
        </w:rPr>
      </w:pPr>
    </w:p>
    <w:p w:rsidR="00E20F66" w:rsidRDefault="00E20F66" w:rsidP="00F05B1F">
      <w:pPr>
        <w:spacing w:before="120" w:after="120" w:line="240" w:lineRule="auto"/>
        <w:jc w:val="both"/>
        <w:rPr>
          <w:sz w:val="24"/>
          <w:szCs w:val="24"/>
        </w:rPr>
      </w:pPr>
    </w:p>
    <w:p w:rsidR="00E20F66" w:rsidRDefault="00E20F66" w:rsidP="00F05B1F">
      <w:pPr>
        <w:spacing w:before="120" w:after="120" w:line="240" w:lineRule="auto"/>
        <w:jc w:val="both"/>
        <w:rPr>
          <w:sz w:val="24"/>
          <w:szCs w:val="24"/>
        </w:rPr>
      </w:pPr>
    </w:p>
    <w:p w:rsidR="00E20F66" w:rsidRDefault="00E20F66" w:rsidP="00F05B1F">
      <w:pPr>
        <w:spacing w:before="120" w:after="120" w:line="240" w:lineRule="auto"/>
        <w:jc w:val="both"/>
        <w:rPr>
          <w:sz w:val="24"/>
          <w:szCs w:val="24"/>
        </w:rPr>
      </w:pPr>
      <w:r>
        <w:rPr>
          <w:sz w:val="24"/>
          <w:szCs w:val="24"/>
        </w:rPr>
        <w:t>Załącznik:</w:t>
      </w:r>
    </w:p>
    <w:p w:rsidR="00E20F66" w:rsidRDefault="00E20F66" w:rsidP="00F05B1F">
      <w:pPr>
        <w:spacing w:before="120" w:after="120" w:line="240" w:lineRule="auto"/>
        <w:jc w:val="both"/>
        <w:rPr>
          <w:sz w:val="24"/>
          <w:szCs w:val="24"/>
        </w:rPr>
      </w:pPr>
      <w:r>
        <w:rPr>
          <w:sz w:val="24"/>
          <w:szCs w:val="24"/>
        </w:rPr>
        <w:t xml:space="preserve">– Pismo </w:t>
      </w:r>
      <w:proofErr w:type="spellStart"/>
      <w:r>
        <w:rPr>
          <w:sz w:val="24"/>
          <w:szCs w:val="24"/>
        </w:rPr>
        <w:t>UOKiK</w:t>
      </w:r>
      <w:proofErr w:type="spellEnd"/>
      <w:r>
        <w:rPr>
          <w:sz w:val="24"/>
          <w:szCs w:val="24"/>
        </w:rPr>
        <w:t xml:space="preserve"> (DDO-52-38(2)/14/MP) z dnia 25 marca 2014 r.</w:t>
      </w:r>
    </w:p>
    <w:p w:rsidR="00E20F66" w:rsidRPr="00C37847" w:rsidRDefault="00E20F66" w:rsidP="00F05B1F">
      <w:pPr>
        <w:spacing w:before="120" w:after="120" w:line="240" w:lineRule="auto"/>
        <w:jc w:val="both"/>
        <w:rPr>
          <w:sz w:val="24"/>
          <w:szCs w:val="24"/>
        </w:rPr>
      </w:pPr>
    </w:p>
    <w:sectPr w:rsidR="00E20F66" w:rsidRPr="00C37847" w:rsidSect="00384A7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compat/>
  <w:rsids>
    <w:rsidRoot w:val="00947A13"/>
    <w:rsid w:val="00041F9B"/>
    <w:rsid w:val="001F3711"/>
    <w:rsid w:val="002B1DC3"/>
    <w:rsid w:val="00384A7D"/>
    <w:rsid w:val="005327A2"/>
    <w:rsid w:val="006C598A"/>
    <w:rsid w:val="007036E7"/>
    <w:rsid w:val="007277BF"/>
    <w:rsid w:val="007A14C4"/>
    <w:rsid w:val="007A5E9E"/>
    <w:rsid w:val="007C4FA3"/>
    <w:rsid w:val="008A71F7"/>
    <w:rsid w:val="008E6A64"/>
    <w:rsid w:val="00947A13"/>
    <w:rsid w:val="009A521B"/>
    <w:rsid w:val="00B243A2"/>
    <w:rsid w:val="00BF1F36"/>
    <w:rsid w:val="00C2069D"/>
    <w:rsid w:val="00C37847"/>
    <w:rsid w:val="00C733A6"/>
    <w:rsid w:val="00D66371"/>
    <w:rsid w:val="00DC30B3"/>
    <w:rsid w:val="00E20F66"/>
    <w:rsid w:val="00E37E20"/>
    <w:rsid w:val="00EE61FB"/>
    <w:rsid w:val="00F05B1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947A13"/>
    <w:pPr>
      <w:suppressAutoHyphens/>
      <w:autoSpaceDN w:val="0"/>
      <w:textAlignment w:val="baseline"/>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1">
    <w:name w:val="Tabela - Siatka1"/>
    <w:basedOn w:val="Standardowy"/>
    <w:next w:val="TekstdymkaZnak"/>
    <w:uiPriority w:val="59"/>
    <w:rsid w:val="006C59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Siatka">
    <w:name w:val="Table Grid"/>
    <w:basedOn w:val="Standardowy"/>
    <w:uiPriority w:val="59"/>
    <w:rsid w:val="006C59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E20F6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20F66"/>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92277069">
      <w:bodyDiv w:val="1"/>
      <w:marLeft w:val="0"/>
      <w:marRight w:val="0"/>
      <w:marTop w:val="0"/>
      <w:marBottom w:val="0"/>
      <w:divBdr>
        <w:top w:val="none" w:sz="0" w:space="0" w:color="auto"/>
        <w:left w:val="none" w:sz="0" w:space="0" w:color="auto"/>
        <w:bottom w:val="none" w:sz="0" w:space="0" w:color="auto"/>
        <w:right w:val="none" w:sz="0" w:space="0" w:color="auto"/>
      </w:divBdr>
    </w:div>
    <w:div w:id="115934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2</Pages>
  <Words>758</Words>
  <Characters>4551</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Dolnośląskiego</Company>
  <LinksUpToDate>false</LinksUpToDate>
  <CharactersWithSpaces>5299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ksiodmiak</dc:creator>
  <cp:keywords/>
  <dc:description/>
  <cp:lastModifiedBy>ksiodmiak</cp:lastModifiedBy>
  <cp:revision>8</cp:revision>
  <cp:lastPrinted>2016-04-14T11:24:00Z</cp:lastPrinted>
  <dcterms:created xsi:type="dcterms:W3CDTF">2016-04-13T11:24:00Z</dcterms:created>
  <dcterms:modified xsi:type="dcterms:W3CDTF">2016-04-14T12:24:00Z</dcterms:modified>
</cp:coreProperties>
</file>