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C56" w:rsidRPr="00F02218" w:rsidRDefault="009D3C56" w:rsidP="007650AC">
      <w:pPr>
        <w:autoSpaceDE w:val="0"/>
        <w:autoSpaceDN w:val="0"/>
        <w:adjustRightInd w:val="0"/>
        <w:spacing w:line="240" w:lineRule="auto"/>
        <w:jc w:val="center"/>
        <w:rPr>
          <w:b/>
          <w:sz w:val="24"/>
          <w:szCs w:val="24"/>
        </w:rPr>
      </w:pPr>
      <w:bookmarkStart w:id="0" w:name="_Toc426632922"/>
      <w:bookmarkStart w:id="1" w:name="_Toc430826826"/>
      <w:bookmarkStart w:id="2" w:name="_Toc432758974"/>
      <w:r w:rsidRPr="00F02218">
        <w:rPr>
          <w:rFonts w:ascii="Calibri" w:hAnsi="Calibri" w:cs="Calibri"/>
          <w:b/>
          <w:color w:val="000000"/>
          <w:sz w:val="24"/>
          <w:szCs w:val="24"/>
        </w:rPr>
        <w:t xml:space="preserve">Lista wskaźników na poziomie projektu dla </w:t>
      </w:r>
      <w:r w:rsidR="00476947">
        <w:rPr>
          <w:rFonts w:ascii="Calibri" w:hAnsi="Calibri" w:cs="Calibri"/>
          <w:b/>
          <w:color w:val="000000"/>
          <w:sz w:val="24"/>
          <w:szCs w:val="24"/>
        </w:rPr>
        <w:t>pod</w:t>
      </w:r>
      <w:r w:rsidRPr="00F02218">
        <w:rPr>
          <w:rFonts w:ascii="Calibri" w:hAnsi="Calibri" w:cs="Calibri"/>
          <w:b/>
          <w:color w:val="000000"/>
          <w:sz w:val="24"/>
          <w:szCs w:val="24"/>
        </w:rPr>
        <w:t xml:space="preserve">działania </w:t>
      </w:r>
      <w:r w:rsidR="000C263C">
        <w:rPr>
          <w:rFonts w:ascii="Calibri" w:hAnsi="Calibri" w:cs="Calibri"/>
          <w:b/>
          <w:color w:val="000000"/>
          <w:sz w:val="24"/>
          <w:szCs w:val="24"/>
        </w:rPr>
        <w:t>2.1.2</w:t>
      </w:r>
      <w:r w:rsidRPr="00F02218">
        <w:rPr>
          <w:rFonts w:ascii="Calibri" w:hAnsi="Calibri" w:cs="Calibri"/>
          <w:b/>
          <w:color w:val="000000"/>
          <w:sz w:val="24"/>
          <w:szCs w:val="24"/>
        </w:rPr>
        <w:t xml:space="preserve"> </w:t>
      </w:r>
      <w:r w:rsidR="00394021" w:rsidRPr="00394021">
        <w:rPr>
          <w:rFonts w:ascii="Calibri" w:hAnsi="Calibri" w:cs="Calibri"/>
          <w:b/>
          <w:color w:val="000000"/>
          <w:sz w:val="24"/>
          <w:szCs w:val="24"/>
        </w:rPr>
        <w:t>E-usługi publiczne</w:t>
      </w:r>
      <w:r w:rsidRPr="00F02218">
        <w:rPr>
          <w:rFonts w:ascii="Calibri" w:hAnsi="Calibri" w:cs="Calibri"/>
          <w:b/>
          <w:color w:val="000000"/>
          <w:sz w:val="24"/>
          <w:szCs w:val="24"/>
        </w:rPr>
        <w:t xml:space="preserve"> </w:t>
      </w:r>
      <w:r w:rsidR="00F02218" w:rsidRPr="00F02218">
        <w:rPr>
          <w:rFonts w:ascii="Calibri" w:hAnsi="Calibri" w:cs="Calibri"/>
          <w:b/>
          <w:color w:val="000000"/>
          <w:sz w:val="24"/>
          <w:szCs w:val="24"/>
        </w:rPr>
        <w:br/>
      </w:r>
      <w:r w:rsidRPr="00F02218">
        <w:rPr>
          <w:rFonts w:ascii="Calibri" w:hAnsi="Calibri" w:cs="Calibri"/>
          <w:b/>
          <w:color w:val="000000"/>
          <w:sz w:val="24"/>
          <w:szCs w:val="24"/>
        </w:rPr>
        <w:t>RPO WD 2014-2020.</w:t>
      </w:r>
    </w:p>
    <w:p w:rsidR="00CF69D1" w:rsidRDefault="00CF69D1" w:rsidP="007650AC">
      <w:pPr>
        <w:autoSpaceDE w:val="0"/>
        <w:autoSpaceDN w:val="0"/>
        <w:spacing w:before="120" w:after="120" w:line="240" w:lineRule="auto"/>
        <w:jc w:val="both"/>
        <w:rPr>
          <w:rFonts w:asciiTheme="minorHAnsi" w:eastAsiaTheme="minorHAnsi" w:hAnsiTheme="minorHAnsi" w:cs="Calibri"/>
          <w:szCs w:val="22"/>
          <w:lang w:eastAsia="en-US"/>
        </w:rPr>
      </w:pPr>
    </w:p>
    <w:p w:rsidR="005657D8" w:rsidRDefault="005657D8" w:rsidP="007650AC">
      <w:pPr>
        <w:autoSpaceDE w:val="0"/>
        <w:autoSpaceDN w:val="0"/>
        <w:spacing w:before="120" w:after="120" w:line="240" w:lineRule="auto"/>
        <w:jc w:val="both"/>
        <w:rPr>
          <w:rFonts w:asciiTheme="minorHAnsi" w:eastAsiaTheme="minorHAnsi" w:hAnsiTheme="minorHAnsi" w:cs="Calibri"/>
          <w:szCs w:val="22"/>
          <w:lang w:eastAsia="en-US"/>
        </w:rPr>
      </w:pPr>
      <w:r w:rsidRPr="00911273">
        <w:rPr>
          <w:rFonts w:asciiTheme="minorHAnsi" w:eastAsiaTheme="minorHAnsi" w:hAnsiTheme="minorHAnsi" w:cs="Calibri"/>
          <w:szCs w:val="22"/>
          <w:lang w:eastAsia="en-US"/>
        </w:rPr>
        <w:t>Główną funkcją wskaźników jest zmierzenie, na ile cel główny projektu zostały zrealizowany</w:t>
      </w:r>
      <w:r>
        <w:rPr>
          <w:rFonts w:asciiTheme="minorHAnsi" w:eastAsiaTheme="minorHAnsi" w:hAnsiTheme="minorHAnsi" w:cs="Calibri"/>
          <w:szCs w:val="22"/>
          <w:lang w:eastAsia="en-US"/>
        </w:rPr>
        <w:t xml:space="preserve">. Wskaźniki służą ilościowej prezentacji działań podjętych w ramach projektu i ich rezultatów. </w:t>
      </w:r>
      <w:r w:rsidRPr="00911273">
        <w:rPr>
          <w:rFonts w:asciiTheme="minorHAnsi" w:eastAsiaTheme="minorHAnsi" w:hAnsiTheme="minorHAnsi" w:cs="Calibri"/>
          <w:szCs w:val="22"/>
          <w:lang w:eastAsia="en-US"/>
        </w:rPr>
        <w:t xml:space="preserve"> W trakcie realizacji projektu wskaźniki powinny umożliwiać mierzenie jego postępu względem celów projektu. </w:t>
      </w:r>
    </w:p>
    <w:p w:rsidR="005657D8" w:rsidRDefault="005657D8" w:rsidP="007650AC">
      <w:pPr>
        <w:autoSpaceDE w:val="0"/>
        <w:autoSpaceDN w:val="0"/>
        <w:spacing w:before="120" w:after="120" w:line="240" w:lineRule="auto"/>
        <w:jc w:val="both"/>
        <w:rPr>
          <w:rFonts w:asciiTheme="minorHAnsi" w:hAnsiTheme="minorHAnsi"/>
          <w:szCs w:val="22"/>
        </w:rPr>
      </w:pPr>
      <w:r w:rsidRPr="00911273">
        <w:rPr>
          <w:rFonts w:asciiTheme="minorHAnsi" w:eastAsiaTheme="minorHAnsi" w:hAnsiTheme="minorHAnsi" w:cs="Calibri"/>
          <w:szCs w:val="22"/>
          <w:lang w:eastAsia="en-US"/>
        </w:rPr>
        <w:t xml:space="preserve">Wybór wskaźników projektu powinien być powiązany z typem realizowanego przedsięwzięcia </w:t>
      </w:r>
      <w:r>
        <w:rPr>
          <w:rFonts w:asciiTheme="minorHAnsi" w:eastAsiaTheme="minorHAnsi" w:hAnsiTheme="minorHAnsi" w:cs="Calibri"/>
          <w:szCs w:val="22"/>
          <w:lang w:eastAsia="en-US"/>
        </w:rPr>
        <w:br/>
      </w:r>
      <w:r w:rsidRPr="00911273">
        <w:rPr>
          <w:rFonts w:asciiTheme="minorHAnsi" w:eastAsiaTheme="minorHAnsi" w:hAnsiTheme="minorHAnsi" w:cs="Calibri"/>
          <w:szCs w:val="22"/>
          <w:lang w:eastAsia="en-US"/>
        </w:rPr>
        <w:t xml:space="preserve">i planowanymi działaniami, które </w:t>
      </w:r>
      <w:r w:rsidR="008E3F0D">
        <w:rPr>
          <w:rFonts w:asciiTheme="minorHAnsi" w:eastAsiaTheme="minorHAnsi" w:hAnsiTheme="minorHAnsi" w:cs="Calibri"/>
          <w:szCs w:val="22"/>
          <w:lang w:eastAsia="en-US"/>
        </w:rPr>
        <w:t>Wnioskodawca</w:t>
      </w:r>
      <w:r w:rsidRPr="00911273">
        <w:rPr>
          <w:rFonts w:asciiTheme="minorHAnsi" w:eastAsiaTheme="minorHAnsi" w:hAnsiTheme="minorHAnsi" w:cs="Calibri"/>
          <w:szCs w:val="22"/>
          <w:lang w:eastAsia="en-US"/>
        </w:rPr>
        <w:t xml:space="preserve"> zamierza podjąć w ramach projektu. </w:t>
      </w:r>
      <w:r w:rsidRPr="00911273">
        <w:rPr>
          <w:rFonts w:asciiTheme="minorHAnsi" w:eastAsiaTheme="minorHAnsi" w:hAnsiTheme="minorHAnsi" w:cs="Calibri"/>
          <w:bCs/>
          <w:szCs w:val="22"/>
          <w:lang w:eastAsia="en-US"/>
        </w:rPr>
        <w:t xml:space="preserve">Do celu głównego projektu </w:t>
      </w:r>
      <w:r w:rsidR="008E3F0D">
        <w:rPr>
          <w:rFonts w:asciiTheme="minorHAnsi" w:eastAsiaTheme="minorHAnsi" w:hAnsiTheme="minorHAnsi" w:cs="Calibri"/>
          <w:bCs/>
          <w:szCs w:val="22"/>
          <w:lang w:eastAsia="en-US"/>
        </w:rPr>
        <w:t>Wnioskodawca</w:t>
      </w:r>
      <w:r w:rsidRPr="00911273">
        <w:rPr>
          <w:rFonts w:asciiTheme="minorHAnsi" w:eastAsiaTheme="minorHAnsi" w:hAnsiTheme="minorHAnsi" w:cs="Calibri"/>
          <w:bCs/>
          <w:szCs w:val="22"/>
          <w:lang w:eastAsia="en-US"/>
        </w:rPr>
        <w:t xml:space="preserve"> powinien dobrać odpowiednie wskaźniki, produktu i rezultatu</w:t>
      </w:r>
      <w:r w:rsidRPr="00911273">
        <w:rPr>
          <w:rFonts w:asciiTheme="minorHAnsi" w:eastAsiaTheme="minorHAnsi" w:hAnsiTheme="minorHAnsi" w:cs="Calibri"/>
          <w:szCs w:val="22"/>
          <w:lang w:eastAsia="en-US"/>
        </w:rPr>
        <w:t xml:space="preserve"> bezpośredniego</w:t>
      </w:r>
      <w:r>
        <w:rPr>
          <w:rFonts w:asciiTheme="minorHAnsi" w:eastAsiaTheme="minorHAnsi" w:hAnsiTheme="minorHAnsi" w:cs="Calibri"/>
          <w:szCs w:val="22"/>
          <w:lang w:eastAsia="en-US"/>
        </w:rPr>
        <w:t>. Muszą być logicznie powiązane z projektem i spójne</w:t>
      </w:r>
      <w:r w:rsidR="008E3F0D">
        <w:rPr>
          <w:rFonts w:asciiTheme="minorHAnsi" w:eastAsiaTheme="minorHAnsi" w:hAnsiTheme="minorHAnsi" w:cs="Calibri"/>
          <w:szCs w:val="22"/>
          <w:lang w:eastAsia="en-US"/>
        </w:rPr>
        <w:t>.</w:t>
      </w:r>
      <w:r w:rsidRPr="00911273">
        <w:rPr>
          <w:rFonts w:asciiTheme="minorHAnsi" w:eastAsiaTheme="minorHAnsi" w:hAnsiTheme="minorHAnsi" w:cs="Calibri"/>
          <w:szCs w:val="22"/>
          <w:lang w:eastAsia="en-US"/>
        </w:rPr>
        <w:t xml:space="preserve"> </w:t>
      </w:r>
    </w:p>
    <w:p w:rsidR="00620A45" w:rsidRPr="00911273" w:rsidRDefault="00620A45" w:rsidP="007650AC">
      <w:pPr>
        <w:autoSpaceDE w:val="0"/>
        <w:autoSpaceDN w:val="0"/>
        <w:spacing w:before="120" w:after="120" w:line="240" w:lineRule="auto"/>
        <w:jc w:val="both"/>
        <w:rPr>
          <w:rFonts w:asciiTheme="minorHAnsi" w:eastAsiaTheme="minorHAnsi" w:hAnsiTheme="minorHAnsi" w:cs="Calibri"/>
          <w:szCs w:val="22"/>
          <w:lang w:eastAsia="en-US"/>
        </w:rPr>
      </w:pPr>
      <w:r>
        <w:rPr>
          <w:rFonts w:asciiTheme="minorHAnsi" w:hAnsiTheme="minorHAnsi"/>
          <w:szCs w:val="22"/>
        </w:rPr>
        <w:t>Każdy ze wskaźników powinien posiadać następujące cechy:</w:t>
      </w:r>
    </w:p>
    <w:p w:rsidR="00620A45" w:rsidRDefault="00620A45" w:rsidP="007650AC">
      <w:pPr>
        <w:numPr>
          <w:ilvl w:val="0"/>
          <w:numId w:val="3"/>
        </w:numPr>
        <w:autoSpaceDE w:val="0"/>
        <w:autoSpaceDN w:val="0"/>
        <w:spacing w:before="0" w:line="240" w:lineRule="auto"/>
        <w:ind w:left="714" w:hanging="357"/>
        <w:jc w:val="both"/>
        <w:rPr>
          <w:rFonts w:asciiTheme="minorHAnsi" w:hAnsiTheme="minorHAnsi"/>
          <w:szCs w:val="22"/>
        </w:rPr>
      </w:pPr>
      <w:r>
        <w:rPr>
          <w:rFonts w:asciiTheme="minorHAnsi" w:hAnsiTheme="minorHAnsi"/>
          <w:szCs w:val="22"/>
        </w:rPr>
        <w:t>adekwatność – wskaźnik powinien być dostosowany do charakteru projektu oraz oczekiwanych efektów związanych z jego realizacją;</w:t>
      </w:r>
    </w:p>
    <w:p w:rsidR="00620A45" w:rsidRDefault="00620A45" w:rsidP="007650AC">
      <w:pPr>
        <w:numPr>
          <w:ilvl w:val="0"/>
          <w:numId w:val="3"/>
        </w:numPr>
        <w:autoSpaceDE w:val="0"/>
        <w:autoSpaceDN w:val="0"/>
        <w:spacing w:before="0" w:line="240" w:lineRule="auto"/>
        <w:ind w:left="714" w:hanging="357"/>
        <w:jc w:val="both"/>
        <w:rPr>
          <w:rFonts w:asciiTheme="minorHAnsi" w:hAnsiTheme="minorHAnsi"/>
          <w:szCs w:val="22"/>
        </w:rPr>
      </w:pPr>
      <w:r>
        <w:rPr>
          <w:rFonts w:asciiTheme="minorHAnsi" w:hAnsiTheme="minorHAnsi"/>
          <w:szCs w:val="22"/>
        </w:rPr>
        <w:t>mierzalność – wskaźnik powinien być kwantyfikowalny, tj. wyrażony w wartościach liczbowych</w:t>
      </w:r>
      <w:r w:rsidR="008E3F0D">
        <w:rPr>
          <w:rFonts w:asciiTheme="minorHAnsi" w:hAnsiTheme="minorHAnsi"/>
          <w:szCs w:val="22"/>
        </w:rPr>
        <w:t xml:space="preserve"> bądź finansowych</w:t>
      </w:r>
      <w:r>
        <w:rPr>
          <w:rFonts w:asciiTheme="minorHAnsi" w:hAnsiTheme="minorHAnsi"/>
          <w:szCs w:val="22"/>
        </w:rPr>
        <w:t>;</w:t>
      </w:r>
    </w:p>
    <w:p w:rsidR="00620A45" w:rsidRDefault="00620A45" w:rsidP="007650AC">
      <w:pPr>
        <w:numPr>
          <w:ilvl w:val="0"/>
          <w:numId w:val="3"/>
        </w:numPr>
        <w:autoSpaceDE w:val="0"/>
        <w:autoSpaceDN w:val="0"/>
        <w:spacing w:before="0" w:line="240" w:lineRule="auto"/>
        <w:ind w:left="714" w:hanging="357"/>
        <w:jc w:val="both"/>
        <w:rPr>
          <w:rFonts w:asciiTheme="minorHAnsi" w:hAnsiTheme="minorHAnsi"/>
          <w:szCs w:val="22"/>
        </w:rPr>
      </w:pPr>
      <w:r>
        <w:rPr>
          <w:rFonts w:asciiTheme="minorHAnsi" w:hAnsiTheme="minorHAnsi"/>
          <w:szCs w:val="22"/>
        </w:rPr>
        <w:t>wiarygodność – wskaźnik powinien być zdefiniowany w taki sposób, aby jego weryfikacja nie powodowała utrudnień;</w:t>
      </w:r>
    </w:p>
    <w:p w:rsidR="00620A45" w:rsidRDefault="00620A45" w:rsidP="007650AC">
      <w:pPr>
        <w:numPr>
          <w:ilvl w:val="0"/>
          <w:numId w:val="3"/>
        </w:numPr>
        <w:autoSpaceDE w:val="0"/>
        <w:autoSpaceDN w:val="0"/>
        <w:spacing w:before="0" w:line="240" w:lineRule="auto"/>
        <w:ind w:left="714" w:hanging="357"/>
        <w:jc w:val="both"/>
        <w:rPr>
          <w:rFonts w:asciiTheme="minorHAnsi" w:hAnsiTheme="minorHAnsi"/>
          <w:szCs w:val="22"/>
        </w:rPr>
      </w:pPr>
      <w:r>
        <w:rPr>
          <w:rFonts w:asciiTheme="minorHAnsi" w:hAnsiTheme="minorHAnsi"/>
          <w:szCs w:val="22"/>
        </w:rPr>
        <w:t>dostępność – wskaźnik powinien być łatwy do określenia w wyniku realizacji projektu;</w:t>
      </w:r>
    </w:p>
    <w:p w:rsidR="00620A45" w:rsidRDefault="00620A45" w:rsidP="007650AC">
      <w:pPr>
        <w:numPr>
          <w:ilvl w:val="0"/>
          <w:numId w:val="3"/>
        </w:numPr>
        <w:autoSpaceDE w:val="0"/>
        <w:autoSpaceDN w:val="0"/>
        <w:spacing w:before="0" w:line="240" w:lineRule="auto"/>
        <w:ind w:left="714" w:hanging="357"/>
        <w:jc w:val="both"/>
        <w:rPr>
          <w:rFonts w:asciiTheme="minorHAnsi" w:hAnsiTheme="minorHAnsi"/>
          <w:szCs w:val="22"/>
        </w:rPr>
      </w:pPr>
      <w:r>
        <w:rPr>
          <w:rFonts w:asciiTheme="minorHAnsi" w:hAnsiTheme="minorHAnsi"/>
          <w:szCs w:val="22"/>
        </w:rPr>
        <w:t>określony w czasie –wartość wskaźnika powinna zostać określona w czasie, tj. określony rok osiągnięcia wartości docelowej wskaźnika</w:t>
      </w:r>
      <w:r w:rsidR="00370466">
        <w:rPr>
          <w:rFonts w:asciiTheme="minorHAnsi" w:hAnsiTheme="minorHAnsi"/>
          <w:szCs w:val="22"/>
        </w:rPr>
        <w:t xml:space="preserve"> oraz okres</w:t>
      </w:r>
      <w:r>
        <w:rPr>
          <w:rFonts w:asciiTheme="minorHAnsi" w:hAnsiTheme="minorHAnsi"/>
          <w:szCs w:val="22"/>
        </w:rPr>
        <w:t xml:space="preserve">, w którym będzie </w:t>
      </w:r>
      <w:r w:rsidR="00370466">
        <w:rPr>
          <w:rFonts w:asciiTheme="minorHAnsi" w:hAnsiTheme="minorHAnsi"/>
          <w:szCs w:val="22"/>
        </w:rPr>
        <w:t>mierzony wskaźnik</w:t>
      </w:r>
    </w:p>
    <w:p w:rsidR="005657D8" w:rsidRPr="00911273" w:rsidRDefault="005657D8" w:rsidP="007650AC">
      <w:pPr>
        <w:autoSpaceDE w:val="0"/>
        <w:autoSpaceDN w:val="0"/>
        <w:adjustRightInd w:val="0"/>
        <w:spacing w:before="120" w:after="120" w:line="240" w:lineRule="auto"/>
        <w:jc w:val="both"/>
        <w:rPr>
          <w:rFonts w:asciiTheme="minorHAnsi" w:eastAsiaTheme="minorHAnsi" w:hAnsiTheme="minorHAnsi" w:cs="Calibri"/>
          <w:szCs w:val="22"/>
          <w:lang w:eastAsia="en-US"/>
        </w:rPr>
      </w:pPr>
      <w:r w:rsidRPr="00911273">
        <w:rPr>
          <w:rFonts w:asciiTheme="minorHAnsi" w:eastAsiaTheme="minorHAnsi" w:hAnsiTheme="minorHAnsi" w:cs="Calibri"/>
          <w:szCs w:val="22"/>
          <w:lang w:eastAsia="en-US"/>
        </w:rPr>
        <w:t xml:space="preserve">Odpowiednio we wniosku </w:t>
      </w:r>
      <w:r w:rsidR="00370466">
        <w:rPr>
          <w:rFonts w:asciiTheme="minorHAnsi" w:eastAsiaTheme="minorHAnsi" w:hAnsiTheme="minorHAnsi" w:cs="Calibri"/>
          <w:szCs w:val="22"/>
          <w:lang w:eastAsia="en-US"/>
        </w:rPr>
        <w:t xml:space="preserve">o dofinansowanie </w:t>
      </w:r>
      <w:r w:rsidRPr="00911273">
        <w:rPr>
          <w:rFonts w:asciiTheme="minorHAnsi" w:eastAsiaTheme="minorHAnsi" w:hAnsiTheme="minorHAnsi" w:cs="Calibri"/>
          <w:szCs w:val="22"/>
          <w:lang w:eastAsia="en-US"/>
        </w:rPr>
        <w:t>należy określić, w jaki sposób mierzona będzie realizacja celu poprzez ustalenie wskaźników. Należy określić, co najmniej jeden podstawowy i mierzalny wskaźnik, który w sposób precyzyjny umożliwi weryfikację stopnia realizacji celu głównego</w:t>
      </w:r>
      <w:r w:rsidR="008E3F0D">
        <w:rPr>
          <w:rFonts w:asciiTheme="minorHAnsi" w:eastAsiaTheme="minorHAnsi" w:hAnsiTheme="minorHAnsi" w:cs="Calibri"/>
          <w:szCs w:val="22"/>
          <w:lang w:eastAsia="en-US"/>
        </w:rPr>
        <w:t xml:space="preserve"> projektu</w:t>
      </w:r>
      <w:r w:rsidRPr="00911273">
        <w:rPr>
          <w:rFonts w:asciiTheme="minorHAnsi" w:eastAsiaTheme="minorHAnsi" w:hAnsiTheme="minorHAnsi" w:cs="Calibri"/>
          <w:szCs w:val="22"/>
          <w:lang w:eastAsia="en-US"/>
        </w:rPr>
        <w:t xml:space="preserve">. </w:t>
      </w:r>
    </w:p>
    <w:p w:rsidR="009D3C56" w:rsidRDefault="009D3C56" w:rsidP="007650AC">
      <w:pPr>
        <w:spacing w:before="120" w:after="120" w:line="240" w:lineRule="auto"/>
        <w:jc w:val="both"/>
        <w:rPr>
          <w:rFonts w:asciiTheme="minorHAnsi" w:hAnsiTheme="minorHAnsi"/>
          <w:b/>
          <w:szCs w:val="22"/>
        </w:rPr>
      </w:pPr>
    </w:p>
    <w:p w:rsidR="00370466" w:rsidRDefault="00370466" w:rsidP="007650AC">
      <w:pPr>
        <w:spacing w:before="120" w:after="120" w:line="240" w:lineRule="auto"/>
        <w:jc w:val="both"/>
        <w:rPr>
          <w:rFonts w:asciiTheme="minorHAnsi" w:hAnsiTheme="minorHAnsi"/>
          <w:b/>
          <w:szCs w:val="22"/>
        </w:rPr>
      </w:pPr>
      <w:r>
        <w:rPr>
          <w:rFonts w:asciiTheme="minorHAnsi" w:hAnsiTheme="minorHAnsi"/>
          <w:b/>
          <w:szCs w:val="22"/>
        </w:rPr>
        <w:t>W ramach RPO WD 2014-2020 rozróżnia się następujące wskaźniki:</w:t>
      </w:r>
    </w:p>
    <w:p w:rsidR="00370466" w:rsidRDefault="00370466" w:rsidP="007650AC">
      <w:pPr>
        <w:pStyle w:val="Akapitzlist"/>
        <w:numPr>
          <w:ilvl w:val="0"/>
          <w:numId w:val="5"/>
        </w:numPr>
        <w:spacing w:before="120" w:after="120" w:line="240" w:lineRule="auto"/>
        <w:ind w:left="567" w:hanging="567"/>
        <w:jc w:val="both"/>
        <w:rPr>
          <w:rFonts w:asciiTheme="minorHAnsi" w:hAnsiTheme="minorHAnsi"/>
          <w:b/>
          <w:szCs w:val="22"/>
        </w:rPr>
      </w:pPr>
      <w:r>
        <w:rPr>
          <w:rFonts w:asciiTheme="minorHAnsi" w:hAnsiTheme="minorHAnsi"/>
          <w:b/>
          <w:szCs w:val="22"/>
        </w:rPr>
        <w:t>obligatoryjne – wskaźniki ujęte w RPO WD 2014-2020,</w:t>
      </w:r>
      <w:r w:rsidR="008E3F0D">
        <w:rPr>
          <w:rFonts w:asciiTheme="minorHAnsi" w:hAnsiTheme="minorHAnsi"/>
          <w:b/>
          <w:szCs w:val="22"/>
        </w:rPr>
        <w:t xml:space="preserve"> SZOOP RPO D 2014-2020</w:t>
      </w:r>
    </w:p>
    <w:p w:rsidR="00370466" w:rsidRDefault="00370466" w:rsidP="007650AC">
      <w:pPr>
        <w:pStyle w:val="Akapitzlist"/>
        <w:numPr>
          <w:ilvl w:val="0"/>
          <w:numId w:val="5"/>
        </w:numPr>
        <w:spacing w:before="120" w:after="120" w:line="240" w:lineRule="auto"/>
        <w:ind w:left="567" w:hanging="567"/>
        <w:jc w:val="both"/>
        <w:rPr>
          <w:rFonts w:asciiTheme="minorHAnsi" w:hAnsiTheme="minorHAnsi"/>
          <w:b/>
          <w:szCs w:val="22"/>
        </w:rPr>
      </w:pPr>
      <w:r>
        <w:rPr>
          <w:rFonts w:asciiTheme="minorHAnsi" w:hAnsiTheme="minorHAnsi"/>
          <w:b/>
          <w:szCs w:val="22"/>
        </w:rPr>
        <w:t xml:space="preserve">horyzontalne </w:t>
      </w:r>
    </w:p>
    <w:p w:rsidR="00370466" w:rsidRDefault="00370466" w:rsidP="007650AC">
      <w:pPr>
        <w:pStyle w:val="Akapitzlist"/>
        <w:numPr>
          <w:ilvl w:val="0"/>
          <w:numId w:val="5"/>
        </w:numPr>
        <w:spacing w:before="120" w:after="120" w:line="240" w:lineRule="auto"/>
        <w:ind w:left="567" w:hanging="567"/>
        <w:jc w:val="both"/>
        <w:rPr>
          <w:rFonts w:asciiTheme="minorHAnsi" w:hAnsiTheme="minorHAnsi"/>
          <w:b/>
          <w:szCs w:val="22"/>
        </w:rPr>
      </w:pPr>
      <w:r>
        <w:rPr>
          <w:rFonts w:asciiTheme="minorHAnsi" w:hAnsiTheme="minorHAnsi"/>
          <w:b/>
          <w:szCs w:val="22"/>
        </w:rPr>
        <w:t xml:space="preserve">dodatkowe </w:t>
      </w:r>
      <w:r w:rsidR="0015486C">
        <w:rPr>
          <w:rFonts w:asciiTheme="minorHAnsi" w:hAnsiTheme="minorHAnsi"/>
          <w:b/>
          <w:szCs w:val="22"/>
        </w:rPr>
        <w:t>– wskaźniki projektowe</w:t>
      </w:r>
    </w:p>
    <w:p w:rsidR="00370466" w:rsidRPr="00370466" w:rsidRDefault="00370466" w:rsidP="007650AC">
      <w:pPr>
        <w:pStyle w:val="Akapitzlist"/>
        <w:spacing w:before="120" w:after="120" w:line="240" w:lineRule="auto"/>
        <w:ind w:left="720"/>
        <w:jc w:val="both"/>
        <w:rPr>
          <w:rFonts w:asciiTheme="minorHAnsi" w:hAnsiTheme="minorHAnsi"/>
          <w:b/>
          <w:szCs w:val="22"/>
        </w:rPr>
      </w:pPr>
    </w:p>
    <w:p w:rsidR="008C495E" w:rsidRPr="00911273" w:rsidRDefault="008C495E" w:rsidP="007650AC">
      <w:pPr>
        <w:pStyle w:val="Nagwek1"/>
        <w:spacing w:before="120" w:after="120" w:line="240" w:lineRule="auto"/>
        <w:jc w:val="both"/>
        <w:rPr>
          <w:rFonts w:asciiTheme="minorHAnsi" w:hAnsiTheme="minorHAnsi"/>
          <w:sz w:val="22"/>
          <w:szCs w:val="22"/>
        </w:rPr>
      </w:pPr>
      <w:r w:rsidRPr="00911273">
        <w:rPr>
          <w:rFonts w:asciiTheme="minorHAnsi" w:hAnsiTheme="minorHAnsi"/>
          <w:sz w:val="22"/>
          <w:szCs w:val="22"/>
        </w:rPr>
        <w:t>Wymagania w zakresie wskaźników w projekcie</w:t>
      </w:r>
      <w:bookmarkEnd w:id="0"/>
      <w:bookmarkEnd w:id="1"/>
      <w:bookmarkEnd w:id="2"/>
    </w:p>
    <w:p w:rsidR="009D3C56" w:rsidRPr="00911273" w:rsidRDefault="008C495E" w:rsidP="007650AC">
      <w:pPr>
        <w:autoSpaceDE w:val="0"/>
        <w:autoSpaceDN w:val="0"/>
        <w:adjustRightInd w:val="0"/>
        <w:spacing w:before="120" w:after="120" w:line="240" w:lineRule="auto"/>
        <w:jc w:val="both"/>
        <w:rPr>
          <w:rFonts w:asciiTheme="minorHAnsi" w:eastAsiaTheme="minorHAnsi" w:hAnsiTheme="minorHAnsi" w:cs="Calibri"/>
          <w:szCs w:val="22"/>
          <w:lang w:eastAsia="en-US"/>
        </w:rPr>
      </w:pPr>
      <w:r w:rsidRPr="00911273">
        <w:rPr>
          <w:rFonts w:asciiTheme="minorHAnsi" w:eastAsiaTheme="minorHAnsi" w:hAnsiTheme="minorHAnsi" w:cs="Calibri"/>
          <w:szCs w:val="22"/>
          <w:lang w:eastAsia="en-US"/>
        </w:rPr>
        <w:t xml:space="preserve">W ramach wniosku o dofinansowanie projektu Wnioskodawca określa </w:t>
      </w:r>
      <w:r w:rsidRPr="00911273">
        <w:rPr>
          <w:rFonts w:asciiTheme="minorHAnsi" w:eastAsiaTheme="minorHAnsi" w:hAnsiTheme="minorHAnsi" w:cs="Calibri"/>
          <w:b/>
          <w:bCs/>
          <w:szCs w:val="22"/>
          <w:lang w:eastAsia="en-US"/>
        </w:rPr>
        <w:t>wskaźniki służące pomiarowi działań i celów założonych w projekcie.</w:t>
      </w:r>
      <w:r w:rsidRPr="00911273">
        <w:rPr>
          <w:rFonts w:asciiTheme="minorHAnsi" w:eastAsiaTheme="minorHAnsi" w:hAnsiTheme="minorHAnsi" w:cs="Calibri"/>
          <w:szCs w:val="22"/>
          <w:lang w:eastAsia="en-US"/>
        </w:rPr>
        <w:t xml:space="preserve"> Wskaźniki w ramach projektu należy określić mając </w:t>
      </w:r>
      <w:r w:rsidR="00CF69D1">
        <w:rPr>
          <w:rFonts w:asciiTheme="minorHAnsi" w:eastAsiaTheme="minorHAnsi" w:hAnsiTheme="minorHAnsi" w:cs="Calibri"/>
          <w:szCs w:val="22"/>
          <w:lang w:eastAsia="en-US"/>
        </w:rPr>
        <w:br/>
      </w:r>
      <w:r w:rsidRPr="00911273">
        <w:rPr>
          <w:rFonts w:asciiTheme="minorHAnsi" w:eastAsiaTheme="minorHAnsi" w:hAnsiTheme="minorHAnsi" w:cs="Calibri"/>
          <w:szCs w:val="22"/>
          <w:lang w:eastAsia="en-US"/>
        </w:rPr>
        <w:t xml:space="preserve">w szczególności na uwadze zapisy niniejszego regulaminu </w:t>
      </w:r>
    </w:p>
    <w:p w:rsidR="008A09D1" w:rsidRPr="008A09D1" w:rsidRDefault="008A09D1" w:rsidP="007650AC">
      <w:pPr>
        <w:autoSpaceDE w:val="0"/>
        <w:autoSpaceDN w:val="0"/>
        <w:adjustRightInd w:val="0"/>
        <w:spacing w:line="240" w:lineRule="auto"/>
        <w:jc w:val="both"/>
        <w:rPr>
          <w:rFonts w:asciiTheme="minorHAnsi" w:hAnsiTheme="minorHAnsi" w:cs="Arial"/>
          <w:color w:val="000000"/>
        </w:rPr>
      </w:pPr>
      <w:r w:rsidRPr="008A09D1">
        <w:rPr>
          <w:rFonts w:asciiTheme="minorHAnsi" w:hAnsiTheme="minorHAnsi" w:cs="Arial"/>
          <w:b/>
          <w:color w:val="000000"/>
        </w:rPr>
        <w:t>W</w:t>
      </w:r>
      <w:r w:rsidRPr="008A09D1">
        <w:rPr>
          <w:rFonts w:asciiTheme="minorHAnsi" w:hAnsiTheme="minorHAnsi" w:cs="Arial"/>
          <w:b/>
          <w:bCs/>
          <w:color w:val="000000"/>
        </w:rPr>
        <w:t>skaźniki produktu</w:t>
      </w:r>
      <w:r w:rsidRPr="008A09D1">
        <w:rPr>
          <w:rFonts w:asciiTheme="minorHAnsi" w:hAnsiTheme="minorHAnsi" w:cs="Arial"/>
          <w:bCs/>
          <w:color w:val="000000"/>
        </w:rPr>
        <w:t xml:space="preserve"> są to wskaźniki powiązane bezpośrednio z wydatkami ponoszonymi w projekcie</w:t>
      </w:r>
      <w:r w:rsidRPr="008A09D1">
        <w:rPr>
          <w:rFonts w:asciiTheme="minorHAnsi" w:hAnsiTheme="minorHAnsi" w:cs="Arial"/>
          <w:color w:val="000000"/>
        </w:rPr>
        <w:t xml:space="preserve">, mierzone konkretnymi wielkościami. Liczone są w jednostkach fizycznych </w:t>
      </w:r>
      <w:r w:rsidR="0015486C">
        <w:rPr>
          <w:rFonts w:asciiTheme="minorHAnsi" w:hAnsiTheme="minorHAnsi" w:cs="Arial"/>
          <w:color w:val="000000"/>
        </w:rPr>
        <w:t>lub monetarnych. Wybrane przez W</w:t>
      </w:r>
      <w:r w:rsidRPr="008A09D1">
        <w:rPr>
          <w:rFonts w:asciiTheme="minorHAnsi" w:hAnsiTheme="minorHAnsi" w:cs="Arial"/>
          <w:color w:val="000000"/>
        </w:rPr>
        <w:t xml:space="preserve">nioskodawcę wskaźniki muszą być adekwatne do zakresu projektu oraz mają być powiązane </w:t>
      </w:r>
      <w:r w:rsidR="00CF69D1">
        <w:rPr>
          <w:rFonts w:asciiTheme="minorHAnsi" w:hAnsiTheme="minorHAnsi" w:cs="Arial"/>
          <w:color w:val="000000"/>
        </w:rPr>
        <w:br/>
      </w:r>
      <w:r w:rsidRPr="008A09D1">
        <w:rPr>
          <w:rFonts w:asciiTheme="minorHAnsi" w:hAnsiTheme="minorHAnsi" w:cs="Arial"/>
          <w:color w:val="000000"/>
        </w:rPr>
        <w:t>z głównymi kategoriami wydatków w projekcie.</w:t>
      </w:r>
    </w:p>
    <w:p w:rsidR="008A09D1" w:rsidRDefault="008A09D1" w:rsidP="007650AC">
      <w:pPr>
        <w:pStyle w:val="Default"/>
        <w:jc w:val="both"/>
        <w:rPr>
          <w:rFonts w:asciiTheme="minorHAnsi" w:hAnsiTheme="minorHAnsi"/>
          <w:sz w:val="22"/>
          <w:szCs w:val="22"/>
        </w:rPr>
      </w:pPr>
    </w:p>
    <w:p w:rsidR="008A09D1" w:rsidRPr="000F0960" w:rsidRDefault="008A09D1" w:rsidP="007650AC">
      <w:pPr>
        <w:pStyle w:val="Default"/>
        <w:jc w:val="both"/>
        <w:rPr>
          <w:rFonts w:asciiTheme="minorHAnsi" w:hAnsiTheme="minorHAnsi"/>
          <w:b/>
          <w:sz w:val="22"/>
          <w:szCs w:val="22"/>
        </w:rPr>
      </w:pPr>
      <w:r w:rsidRPr="000F0960">
        <w:rPr>
          <w:rFonts w:asciiTheme="minorHAnsi" w:hAnsiTheme="minorHAnsi"/>
          <w:b/>
          <w:sz w:val="22"/>
          <w:szCs w:val="22"/>
        </w:rPr>
        <w:t xml:space="preserve">W przypadku, gdy w ramach danego </w:t>
      </w:r>
      <w:r w:rsidR="008E3F0D" w:rsidRPr="000F0960">
        <w:rPr>
          <w:rFonts w:asciiTheme="minorHAnsi" w:hAnsiTheme="minorHAnsi"/>
          <w:b/>
          <w:sz w:val="22"/>
          <w:szCs w:val="22"/>
        </w:rPr>
        <w:t>D</w:t>
      </w:r>
      <w:r w:rsidRPr="000F0960">
        <w:rPr>
          <w:rFonts w:asciiTheme="minorHAnsi" w:hAnsiTheme="minorHAnsi"/>
          <w:b/>
          <w:sz w:val="22"/>
          <w:szCs w:val="22"/>
        </w:rPr>
        <w:t xml:space="preserve">ziałania uwzględniony został wskaźnik z RPO, który odzwierciedla zakres projektu, jego wykazanie dla Wnioskodawcy jest  obligatoryjne. </w:t>
      </w:r>
    </w:p>
    <w:p w:rsidR="008A09D1" w:rsidRPr="008A09D1" w:rsidRDefault="008A09D1" w:rsidP="007650AC">
      <w:pPr>
        <w:autoSpaceDE w:val="0"/>
        <w:autoSpaceDN w:val="0"/>
        <w:adjustRightInd w:val="0"/>
        <w:spacing w:line="240" w:lineRule="auto"/>
        <w:jc w:val="both"/>
        <w:rPr>
          <w:rFonts w:asciiTheme="minorHAnsi" w:hAnsiTheme="minorHAnsi" w:cs="Arial"/>
          <w:bCs/>
          <w:color w:val="000000"/>
        </w:rPr>
      </w:pPr>
    </w:p>
    <w:p w:rsidR="008A09D1" w:rsidRPr="008A09D1" w:rsidRDefault="008A09D1" w:rsidP="007650AC">
      <w:pPr>
        <w:pStyle w:val="Default"/>
        <w:jc w:val="both"/>
        <w:rPr>
          <w:rFonts w:asciiTheme="minorHAnsi" w:hAnsiTheme="minorHAnsi"/>
          <w:sz w:val="22"/>
          <w:szCs w:val="22"/>
        </w:rPr>
      </w:pPr>
      <w:r w:rsidRPr="008A09D1">
        <w:rPr>
          <w:rFonts w:asciiTheme="minorHAnsi" w:hAnsiTheme="minorHAnsi"/>
          <w:sz w:val="22"/>
          <w:szCs w:val="22"/>
        </w:rPr>
        <w:t xml:space="preserve">Dla każdego z wybranych wskaźników Wnioskodawca zobowiązany jest do wskazania </w:t>
      </w:r>
      <w:r w:rsidRPr="008A09D1">
        <w:rPr>
          <w:rFonts w:asciiTheme="minorHAnsi" w:hAnsiTheme="minorHAnsi"/>
          <w:i/>
          <w:sz w:val="22"/>
          <w:szCs w:val="22"/>
        </w:rPr>
        <w:t>„Jednostki miary”</w:t>
      </w:r>
      <w:r w:rsidRPr="008A09D1">
        <w:rPr>
          <w:rFonts w:asciiTheme="minorHAnsi" w:hAnsiTheme="minorHAnsi"/>
          <w:sz w:val="22"/>
          <w:szCs w:val="22"/>
        </w:rPr>
        <w:t xml:space="preserve">, </w:t>
      </w:r>
      <w:r w:rsidRPr="003828CF">
        <w:rPr>
          <w:rFonts w:asciiTheme="minorHAnsi" w:hAnsiTheme="minorHAnsi"/>
          <w:i/>
          <w:sz w:val="22"/>
          <w:szCs w:val="22"/>
        </w:rPr>
        <w:t>„Wartości bazowej”</w:t>
      </w:r>
      <w:r w:rsidRPr="003828CF">
        <w:rPr>
          <w:rFonts w:asciiTheme="minorHAnsi" w:hAnsiTheme="minorHAnsi"/>
          <w:sz w:val="22"/>
          <w:szCs w:val="22"/>
        </w:rPr>
        <w:t xml:space="preserve">, </w:t>
      </w:r>
      <w:r w:rsidRPr="008A09D1">
        <w:rPr>
          <w:rFonts w:asciiTheme="minorHAnsi" w:hAnsiTheme="minorHAnsi"/>
          <w:i/>
          <w:sz w:val="22"/>
          <w:szCs w:val="22"/>
        </w:rPr>
        <w:t>„Wartości docelowej wskaźnika”</w:t>
      </w:r>
      <w:r w:rsidRPr="008A09D1">
        <w:rPr>
          <w:rFonts w:asciiTheme="minorHAnsi" w:hAnsiTheme="minorHAnsi"/>
          <w:sz w:val="22"/>
          <w:szCs w:val="22"/>
        </w:rPr>
        <w:t xml:space="preserve">, a także </w:t>
      </w:r>
      <w:r w:rsidRPr="008A09D1">
        <w:rPr>
          <w:rFonts w:asciiTheme="minorHAnsi" w:hAnsiTheme="minorHAnsi"/>
          <w:i/>
          <w:sz w:val="22"/>
          <w:szCs w:val="22"/>
        </w:rPr>
        <w:t>„Źródła informacji o</w:t>
      </w:r>
      <w:r w:rsidR="007E025A">
        <w:rPr>
          <w:rFonts w:asciiTheme="minorHAnsi" w:hAnsiTheme="minorHAnsi"/>
          <w:i/>
          <w:sz w:val="22"/>
          <w:szCs w:val="22"/>
        </w:rPr>
        <w:t> </w:t>
      </w:r>
      <w:r w:rsidRPr="008A09D1">
        <w:rPr>
          <w:rFonts w:asciiTheme="minorHAnsi" w:hAnsiTheme="minorHAnsi"/>
          <w:i/>
          <w:sz w:val="22"/>
          <w:szCs w:val="22"/>
        </w:rPr>
        <w:t>wskaźniku”</w:t>
      </w:r>
      <w:r w:rsidRPr="008A09D1">
        <w:rPr>
          <w:rFonts w:asciiTheme="minorHAnsi" w:hAnsiTheme="minorHAnsi"/>
          <w:sz w:val="22"/>
          <w:szCs w:val="22"/>
        </w:rPr>
        <w:t xml:space="preserve">. </w:t>
      </w:r>
    </w:p>
    <w:p w:rsidR="008A09D1" w:rsidRPr="008A09D1" w:rsidRDefault="008A09D1" w:rsidP="007650AC">
      <w:pPr>
        <w:pStyle w:val="Default"/>
        <w:jc w:val="both"/>
        <w:rPr>
          <w:rFonts w:asciiTheme="minorHAnsi" w:hAnsiTheme="minorHAnsi"/>
          <w:sz w:val="22"/>
          <w:szCs w:val="22"/>
        </w:rPr>
      </w:pPr>
      <w:r w:rsidRPr="008A09D1">
        <w:rPr>
          <w:rFonts w:asciiTheme="minorHAnsi" w:hAnsiTheme="minorHAnsi"/>
          <w:sz w:val="22"/>
          <w:szCs w:val="22"/>
        </w:rPr>
        <w:t xml:space="preserve">Wartość docelowa dla wskaźnika produktu to wyrażony liczbowo stan danego wskaźnika na moment zakończenia rzeczowej realizacji projektu. </w:t>
      </w:r>
    </w:p>
    <w:p w:rsidR="008A09D1" w:rsidRPr="008A09D1" w:rsidRDefault="008A09D1" w:rsidP="007650AC">
      <w:pPr>
        <w:pStyle w:val="Default"/>
        <w:jc w:val="both"/>
        <w:rPr>
          <w:rFonts w:asciiTheme="minorHAnsi" w:hAnsiTheme="minorHAnsi"/>
          <w:sz w:val="22"/>
          <w:szCs w:val="22"/>
          <w:highlight w:val="yellow"/>
        </w:rPr>
      </w:pPr>
      <w:r w:rsidRPr="008A09D1">
        <w:rPr>
          <w:rFonts w:asciiTheme="minorHAnsi" w:hAnsiTheme="minorHAnsi"/>
          <w:sz w:val="22"/>
          <w:szCs w:val="22"/>
        </w:rPr>
        <w:t>Jako źródło informacji o wskaźniku wskazać należy odpowiedni dokument (np. protokół odbioru</w:t>
      </w:r>
      <w:r w:rsidR="007E025A">
        <w:rPr>
          <w:rFonts w:asciiTheme="minorHAnsi" w:hAnsiTheme="minorHAnsi"/>
          <w:sz w:val="22"/>
          <w:szCs w:val="22"/>
        </w:rPr>
        <w:t xml:space="preserve"> robót</w:t>
      </w:r>
      <w:r w:rsidRPr="008A09D1">
        <w:rPr>
          <w:rFonts w:asciiTheme="minorHAnsi" w:hAnsiTheme="minorHAnsi"/>
          <w:sz w:val="22"/>
          <w:szCs w:val="22"/>
        </w:rPr>
        <w:t>).</w:t>
      </w:r>
      <w:r w:rsidRPr="008A09D1">
        <w:rPr>
          <w:rFonts w:asciiTheme="minorHAnsi" w:hAnsiTheme="minorHAnsi"/>
          <w:sz w:val="22"/>
          <w:szCs w:val="22"/>
          <w:highlight w:val="yellow"/>
        </w:rPr>
        <w:t xml:space="preserve"> </w:t>
      </w:r>
    </w:p>
    <w:p w:rsidR="008C495E" w:rsidRPr="00911273" w:rsidRDefault="008C495E" w:rsidP="007650AC">
      <w:pPr>
        <w:autoSpaceDE w:val="0"/>
        <w:autoSpaceDN w:val="0"/>
        <w:adjustRightInd w:val="0"/>
        <w:spacing w:before="120" w:after="120" w:line="240" w:lineRule="auto"/>
        <w:jc w:val="both"/>
        <w:rPr>
          <w:rFonts w:asciiTheme="minorHAnsi" w:hAnsiTheme="minorHAnsi"/>
          <w:szCs w:val="22"/>
        </w:rPr>
      </w:pPr>
      <w:r w:rsidRPr="00911273">
        <w:rPr>
          <w:rFonts w:asciiTheme="minorHAnsi" w:hAnsiTheme="minorHAnsi"/>
          <w:szCs w:val="22"/>
        </w:rPr>
        <w:t xml:space="preserve">W ramach Działania </w:t>
      </w:r>
      <w:r w:rsidR="00221FB2">
        <w:rPr>
          <w:rFonts w:asciiTheme="minorHAnsi" w:hAnsiTheme="minorHAnsi"/>
          <w:szCs w:val="22"/>
        </w:rPr>
        <w:t>2</w:t>
      </w:r>
      <w:r w:rsidRPr="00911273">
        <w:rPr>
          <w:rFonts w:asciiTheme="minorHAnsi" w:hAnsiTheme="minorHAnsi"/>
          <w:szCs w:val="22"/>
        </w:rPr>
        <w:t>.</w:t>
      </w:r>
      <w:r w:rsidR="00221FB2">
        <w:rPr>
          <w:rFonts w:asciiTheme="minorHAnsi" w:hAnsiTheme="minorHAnsi"/>
          <w:szCs w:val="22"/>
        </w:rPr>
        <w:t>1</w:t>
      </w:r>
      <w:r w:rsidRPr="00911273">
        <w:rPr>
          <w:rFonts w:asciiTheme="minorHAnsi" w:hAnsiTheme="minorHAnsi"/>
          <w:szCs w:val="22"/>
        </w:rPr>
        <w:t xml:space="preserve"> określono poniższe wskaźniki </w:t>
      </w:r>
      <w:r w:rsidRPr="008A09D1">
        <w:rPr>
          <w:rFonts w:asciiTheme="minorHAnsi" w:hAnsiTheme="minorHAnsi"/>
          <w:b/>
          <w:szCs w:val="22"/>
        </w:rPr>
        <w:t>produktu:</w:t>
      </w:r>
    </w:p>
    <w:p w:rsidR="008C495E" w:rsidRPr="00911273" w:rsidRDefault="008C495E" w:rsidP="007650AC">
      <w:pPr>
        <w:autoSpaceDE w:val="0"/>
        <w:autoSpaceDN w:val="0"/>
        <w:adjustRightInd w:val="0"/>
        <w:spacing w:before="120" w:after="120" w:line="240" w:lineRule="auto"/>
        <w:jc w:val="both"/>
        <w:rPr>
          <w:rFonts w:asciiTheme="minorHAnsi" w:hAnsiTheme="minorHAnsi"/>
          <w:szCs w:val="22"/>
        </w:rPr>
      </w:pPr>
    </w:p>
    <w:tbl>
      <w:tblPr>
        <w:tblW w:w="5000"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2094"/>
        <w:gridCol w:w="851"/>
        <w:gridCol w:w="4536"/>
        <w:gridCol w:w="1807"/>
      </w:tblGrid>
      <w:tr w:rsidR="00370466" w:rsidRPr="00911273" w:rsidTr="00F02218">
        <w:trPr>
          <w:cantSplit/>
          <w:trHeight w:val="20"/>
          <w:jc w:val="center"/>
        </w:trPr>
        <w:tc>
          <w:tcPr>
            <w:tcW w:w="1127" w:type="pct"/>
            <w:shd w:val="clear" w:color="auto" w:fill="auto"/>
          </w:tcPr>
          <w:p w:rsidR="005657D8" w:rsidRPr="00911273" w:rsidRDefault="005657D8" w:rsidP="007650AC">
            <w:pPr>
              <w:spacing w:before="0" w:line="240" w:lineRule="auto"/>
              <w:jc w:val="center"/>
              <w:rPr>
                <w:rFonts w:asciiTheme="minorHAnsi" w:hAnsiTheme="minorHAnsi"/>
                <w:b/>
                <w:szCs w:val="22"/>
              </w:rPr>
            </w:pPr>
            <w:r w:rsidRPr="00911273">
              <w:rPr>
                <w:rFonts w:asciiTheme="minorHAnsi" w:hAnsiTheme="minorHAnsi"/>
                <w:b/>
                <w:szCs w:val="22"/>
              </w:rPr>
              <w:t>Nazwa wskaźnika produktu</w:t>
            </w:r>
          </w:p>
        </w:tc>
        <w:tc>
          <w:tcPr>
            <w:tcW w:w="458" w:type="pct"/>
          </w:tcPr>
          <w:p w:rsidR="005657D8" w:rsidRPr="00911273" w:rsidRDefault="005657D8" w:rsidP="007650AC">
            <w:pPr>
              <w:suppressAutoHyphens/>
              <w:spacing w:before="0" w:line="240" w:lineRule="auto"/>
              <w:jc w:val="center"/>
              <w:rPr>
                <w:rFonts w:asciiTheme="minorHAnsi" w:hAnsiTheme="minorHAnsi"/>
                <w:b/>
                <w:bCs/>
                <w:szCs w:val="22"/>
              </w:rPr>
            </w:pPr>
            <w:r w:rsidRPr="00911273">
              <w:rPr>
                <w:rFonts w:asciiTheme="minorHAnsi" w:hAnsiTheme="minorHAnsi"/>
                <w:b/>
                <w:bCs/>
                <w:szCs w:val="22"/>
              </w:rPr>
              <w:t>Jednostka miary</w:t>
            </w:r>
          </w:p>
        </w:tc>
        <w:tc>
          <w:tcPr>
            <w:tcW w:w="2442" w:type="pct"/>
            <w:shd w:val="clear" w:color="auto" w:fill="auto"/>
          </w:tcPr>
          <w:p w:rsidR="005657D8" w:rsidRPr="00911273" w:rsidRDefault="005657D8" w:rsidP="007650AC">
            <w:pPr>
              <w:suppressAutoHyphens/>
              <w:spacing w:before="0" w:line="240" w:lineRule="auto"/>
              <w:jc w:val="center"/>
              <w:rPr>
                <w:rFonts w:asciiTheme="minorHAnsi" w:hAnsiTheme="minorHAnsi"/>
                <w:b/>
                <w:szCs w:val="22"/>
              </w:rPr>
            </w:pPr>
            <w:r w:rsidRPr="00911273">
              <w:rPr>
                <w:rFonts w:asciiTheme="minorHAnsi" w:hAnsiTheme="minorHAnsi"/>
                <w:b/>
                <w:bCs/>
                <w:szCs w:val="22"/>
              </w:rPr>
              <w:t>Definicja wskaźnika</w:t>
            </w:r>
          </w:p>
        </w:tc>
        <w:tc>
          <w:tcPr>
            <w:tcW w:w="973" w:type="pct"/>
          </w:tcPr>
          <w:p w:rsidR="005657D8" w:rsidRPr="00911273" w:rsidRDefault="005657D8" w:rsidP="007650AC">
            <w:pPr>
              <w:suppressAutoHyphens/>
              <w:spacing w:before="0" w:line="240" w:lineRule="auto"/>
              <w:jc w:val="center"/>
              <w:rPr>
                <w:rFonts w:asciiTheme="minorHAnsi" w:hAnsiTheme="minorHAnsi"/>
                <w:b/>
                <w:bCs/>
                <w:szCs w:val="22"/>
              </w:rPr>
            </w:pPr>
            <w:r>
              <w:rPr>
                <w:rFonts w:asciiTheme="minorHAnsi" w:hAnsiTheme="minorHAnsi"/>
                <w:b/>
                <w:bCs/>
                <w:szCs w:val="22"/>
              </w:rPr>
              <w:t>Rodzaj dokumentu, w</w:t>
            </w:r>
            <w:r w:rsidR="007E025A">
              <w:rPr>
                <w:rFonts w:asciiTheme="minorHAnsi" w:hAnsiTheme="minorHAnsi"/>
                <w:b/>
                <w:bCs/>
                <w:szCs w:val="22"/>
              </w:rPr>
              <w:t> </w:t>
            </w:r>
            <w:r>
              <w:rPr>
                <w:rFonts w:asciiTheme="minorHAnsi" w:hAnsiTheme="minorHAnsi"/>
                <w:b/>
                <w:bCs/>
                <w:szCs w:val="22"/>
              </w:rPr>
              <w:t>którym określono wskaźnik</w:t>
            </w:r>
          </w:p>
        </w:tc>
      </w:tr>
      <w:tr w:rsidR="00370466" w:rsidRPr="00911273" w:rsidTr="00F02218">
        <w:trPr>
          <w:cantSplit/>
          <w:trHeight w:val="20"/>
          <w:jc w:val="center"/>
        </w:trPr>
        <w:tc>
          <w:tcPr>
            <w:tcW w:w="1127" w:type="pct"/>
            <w:shd w:val="clear" w:color="auto" w:fill="auto"/>
          </w:tcPr>
          <w:p w:rsidR="005657D8" w:rsidRPr="00911273" w:rsidRDefault="009E33FB" w:rsidP="007650AC">
            <w:pPr>
              <w:spacing w:before="60" w:after="60" w:line="240" w:lineRule="auto"/>
              <w:rPr>
                <w:rFonts w:asciiTheme="minorHAnsi" w:hAnsiTheme="minorHAnsi"/>
                <w:szCs w:val="22"/>
              </w:rPr>
            </w:pPr>
            <w:r w:rsidRPr="00395460">
              <w:rPr>
                <w:rFonts w:asciiTheme="minorHAnsi" w:hAnsiTheme="minorHAnsi"/>
                <w:szCs w:val="22"/>
              </w:rPr>
              <w:t>Liczba usług publicznych udostępnionych on-line o stopniu dojrzałości 3 dwustronna interakcja</w:t>
            </w:r>
          </w:p>
        </w:tc>
        <w:tc>
          <w:tcPr>
            <w:tcW w:w="458" w:type="pct"/>
          </w:tcPr>
          <w:p w:rsidR="005657D8" w:rsidRPr="00911273" w:rsidRDefault="005657D8" w:rsidP="007650AC">
            <w:pPr>
              <w:spacing w:line="240" w:lineRule="auto"/>
              <w:jc w:val="both"/>
              <w:rPr>
                <w:szCs w:val="22"/>
              </w:rPr>
            </w:pPr>
            <w:r w:rsidRPr="00911273">
              <w:rPr>
                <w:rFonts w:asciiTheme="minorHAnsi" w:hAnsiTheme="minorHAnsi"/>
                <w:szCs w:val="22"/>
              </w:rPr>
              <w:t>szt.</w:t>
            </w:r>
          </w:p>
        </w:tc>
        <w:tc>
          <w:tcPr>
            <w:tcW w:w="2442" w:type="pct"/>
            <w:shd w:val="clear" w:color="auto" w:fill="auto"/>
          </w:tcPr>
          <w:p w:rsidR="001F0994" w:rsidRPr="001F0994" w:rsidRDefault="001F0994" w:rsidP="001F0994">
            <w:pPr>
              <w:spacing w:before="0" w:line="276" w:lineRule="auto"/>
              <w:jc w:val="both"/>
              <w:rPr>
                <w:rFonts w:ascii="Calibri" w:eastAsia="Calibri" w:hAnsi="Calibri" w:cs="Arial Narrow"/>
                <w:szCs w:val="22"/>
                <w:lang w:eastAsia="en-US"/>
              </w:rPr>
            </w:pPr>
            <w:r w:rsidRPr="001F0994">
              <w:rPr>
                <w:rFonts w:ascii="Calibri" w:eastAsia="Calibri" w:hAnsi="Calibri" w:cs="Arial Narrow"/>
                <w:szCs w:val="22"/>
                <w:lang w:eastAsia="en-US"/>
              </w:rPr>
              <w:t xml:space="preserve">Usługa on-line o stopniu dojrzałości 3 umożliwia transfer danych w dwóch kierunkach: od usługodawcy do klienta oraz od klienta do usługodawcy. Typowym sposobem jej realizacji jest pobranie, wypełnienie i odesłanie formularza drogą elektroniczną. Usługi powyższe obejmują m.in. usługi powstałe </w:t>
            </w:r>
            <w:r w:rsidR="00395460" w:rsidRPr="00CD28DA">
              <w:rPr>
                <w:rFonts w:ascii="Calibri" w:eastAsia="Calibri" w:hAnsi="Calibri" w:cs="Arial Narrow"/>
                <w:szCs w:val="22"/>
                <w:lang w:eastAsia="en-US"/>
              </w:rPr>
              <w:br/>
            </w:r>
            <w:r w:rsidRPr="001F0994">
              <w:rPr>
                <w:rFonts w:ascii="Calibri" w:eastAsia="Calibri" w:hAnsi="Calibri" w:cs="Arial Narrow"/>
                <w:szCs w:val="22"/>
                <w:lang w:eastAsia="en-US"/>
              </w:rPr>
              <w:t>w ramach digitalizacji map, GIS.</w:t>
            </w:r>
          </w:p>
          <w:p w:rsidR="001F0994" w:rsidRPr="001F0994" w:rsidRDefault="001F0994" w:rsidP="001F0994">
            <w:pPr>
              <w:spacing w:before="0" w:line="276" w:lineRule="auto"/>
              <w:jc w:val="both"/>
              <w:rPr>
                <w:rFonts w:ascii="Calibri" w:eastAsia="Calibri" w:hAnsi="Calibri" w:cs="Arial Narrow"/>
                <w:szCs w:val="22"/>
                <w:lang w:eastAsia="en-US"/>
              </w:rPr>
            </w:pPr>
            <w:r w:rsidRPr="001F0994">
              <w:rPr>
                <w:rFonts w:ascii="Calibri" w:eastAsia="Calibri" w:hAnsi="Calibri" w:cs="Arial Narrow"/>
                <w:szCs w:val="22"/>
                <w:lang w:eastAsia="en-US"/>
              </w:rPr>
              <w:t>W ramach wskaźnika należy ujmować usługi:</w:t>
            </w:r>
          </w:p>
          <w:p w:rsidR="001F0994" w:rsidRPr="001F0994" w:rsidRDefault="001F0994" w:rsidP="001F0994">
            <w:pPr>
              <w:numPr>
                <w:ilvl w:val="0"/>
                <w:numId w:val="8"/>
              </w:numPr>
              <w:spacing w:before="0" w:after="200" w:line="276" w:lineRule="auto"/>
              <w:contextualSpacing/>
              <w:jc w:val="both"/>
              <w:rPr>
                <w:rFonts w:ascii="Calibri" w:eastAsia="Calibri" w:hAnsi="Calibri" w:cs="Arial Narrow"/>
                <w:szCs w:val="22"/>
                <w:lang w:eastAsia="en-US"/>
              </w:rPr>
            </w:pPr>
            <w:r w:rsidRPr="001F0994">
              <w:rPr>
                <w:rFonts w:ascii="Calibri" w:eastAsia="Calibri" w:hAnsi="Calibri" w:cs="Arial Narrow"/>
                <w:szCs w:val="22"/>
                <w:lang w:eastAsia="en-US"/>
              </w:rPr>
              <w:t>nowe lub istotnie udoskonalone,</w:t>
            </w:r>
          </w:p>
          <w:p w:rsidR="005657D8" w:rsidRDefault="001F0994" w:rsidP="001F0994">
            <w:pPr>
              <w:autoSpaceDE w:val="0"/>
              <w:autoSpaceDN w:val="0"/>
              <w:adjustRightInd w:val="0"/>
              <w:spacing w:before="0" w:line="240" w:lineRule="auto"/>
              <w:jc w:val="both"/>
              <w:rPr>
                <w:rFonts w:ascii="Calibri" w:eastAsia="Calibri" w:hAnsi="Calibri" w:cs="Arial Narrow"/>
                <w:szCs w:val="22"/>
                <w:lang w:eastAsia="en-US"/>
              </w:rPr>
            </w:pPr>
            <w:r w:rsidRPr="00CD28DA">
              <w:rPr>
                <w:rFonts w:ascii="Calibri" w:eastAsia="Calibri" w:hAnsi="Calibri" w:cs="Arial Narrow"/>
                <w:szCs w:val="22"/>
                <w:lang w:eastAsia="en-US"/>
              </w:rPr>
              <w:t>skierowane do klientów spoza administracji publicznej: obywateli (usługi A2C, Administration to</w:t>
            </w:r>
            <w:r w:rsidR="00395460" w:rsidRPr="00CD28DA">
              <w:rPr>
                <w:rFonts w:ascii="Calibri" w:eastAsia="Calibri" w:hAnsi="Calibri" w:cs="Arial Narrow"/>
                <w:szCs w:val="22"/>
                <w:lang w:eastAsia="en-US"/>
              </w:rPr>
              <w:t xml:space="preserve"> </w:t>
            </w:r>
            <w:proofErr w:type="spellStart"/>
            <w:r w:rsidR="00395460" w:rsidRPr="00CD28DA">
              <w:rPr>
                <w:rFonts w:ascii="Calibri" w:eastAsia="Calibri" w:hAnsi="Calibri" w:cs="Arial Narrow"/>
                <w:szCs w:val="22"/>
                <w:lang w:eastAsia="en-US"/>
              </w:rPr>
              <w:t>Citizen</w:t>
            </w:r>
            <w:proofErr w:type="spellEnd"/>
            <w:r w:rsidRPr="00CD28DA">
              <w:rPr>
                <w:rFonts w:ascii="Calibri" w:eastAsia="Calibri" w:hAnsi="Calibri" w:cs="Arial Narrow"/>
                <w:szCs w:val="22"/>
                <w:lang w:eastAsia="en-US"/>
              </w:rPr>
              <w:t>) i/lub przedsiębiorców (A2B, Administration to Business). Powyższe warunki należy traktować łącznie.</w:t>
            </w:r>
          </w:p>
          <w:p w:rsidR="001722F7" w:rsidRPr="00CD28DA" w:rsidRDefault="001722F7" w:rsidP="001F0994">
            <w:pPr>
              <w:autoSpaceDE w:val="0"/>
              <w:autoSpaceDN w:val="0"/>
              <w:adjustRightInd w:val="0"/>
              <w:spacing w:before="0" w:line="240" w:lineRule="auto"/>
              <w:jc w:val="both"/>
              <w:rPr>
                <w:rFonts w:ascii="Calibri" w:eastAsia="Calibri" w:hAnsi="Calibri" w:cs="Arial Narrow"/>
                <w:szCs w:val="22"/>
                <w:lang w:eastAsia="en-US"/>
              </w:rPr>
            </w:pPr>
          </w:p>
          <w:p w:rsidR="00395460" w:rsidRPr="00CD28DA" w:rsidRDefault="00395460" w:rsidP="001F0994">
            <w:pPr>
              <w:autoSpaceDE w:val="0"/>
              <w:autoSpaceDN w:val="0"/>
              <w:adjustRightInd w:val="0"/>
              <w:spacing w:before="0" w:line="240" w:lineRule="auto"/>
              <w:jc w:val="both"/>
              <w:rPr>
                <w:rFonts w:ascii="Calibri" w:eastAsia="Calibri" w:hAnsi="Calibri" w:cs="Arial Narrow"/>
                <w:szCs w:val="22"/>
                <w:lang w:eastAsia="en-US"/>
              </w:rPr>
            </w:pPr>
            <w:r w:rsidRPr="00CD28DA">
              <w:rPr>
                <w:rFonts w:ascii="Calibri" w:hAnsi="Calibri"/>
                <w:szCs w:val="22"/>
              </w:rPr>
              <w:t>Metoda pomiaru:</w:t>
            </w:r>
          </w:p>
          <w:p w:rsidR="00395460" w:rsidRPr="00395460" w:rsidRDefault="00395460" w:rsidP="00395460">
            <w:pPr>
              <w:spacing w:before="0" w:line="276" w:lineRule="auto"/>
              <w:jc w:val="both"/>
              <w:rPr>
                <w:rFonts w:ascii="Calibri" w:eastAsia="Calibri" w:hAnsi="Calibri" w:cs="Arial Narrow"/>
                <w:szCs w:val="22"/>
                <w:lang w:eastAsia="en-US"/>
              </w:rPr>
            </w:pPr>
            <w:r w:rsidRPr="00395460">
              <w:rPr>
                <w:rFonts w:ascii="Calibri" w:eastAsia="Calibri" w:hAnsi="Calibri" w:cs="Arial Narrow"/>
                <w:szCs w:val="22"/>
                <w:lang w:eastAsia="en-US"/>
              </w:rPr>
              <w:t>Należy zliczyć udostępnione on-line usługi o stopniu dojrzałości 3, których wykonanie bez wykorzystania technologii informacyjnej jest niemożliwe w formie ogólnodostępnych serwisów informacyjnych.</w:t>
            </w:r>
          </w:p>
          <w:p w:rsidR="000F0960" w:rsidRDefault="000F0960" w:rsidP="00395460">
            <w:pPr>
              <w:spacing w:before="0" w:line="276" w:lineRule="auto"/>
              <w:jc w:val="both"/>
              <w:rPr>
                <w:rFonts w:ascii="Calibri" w:eastAsia="Calibri" w:hAnsi="Calibri" w:cs="Arial Narrow"/>
                <w:szCs w:val="22"/>
                <w:lang w:eastAsia="en-US"/>
              </w:rPr>
            </w:pPr>
          </w:p>
          <w:p w:rsidR="00395460" w:rsidRPr="00395460" w:rsidRDefault="00395460" w:rsidP="00395460">
            <w:pPr>
              <w:spacing w:before="0" w:line="276" w:lineRule="auto"/>
              <w:jc w:val="both"/>
              <w:rPr>
                <w:rFonts w:ascii="Calibri" w:eastAsia="Calibri" w:hAnsi="Calibri" w:cs="Arial Narrow"/>
                <w:szCs w:val="22"/>
                <w:lang w:eastAsia="en-US"/>
              </w:rPr>
            </w:pPr>
            <w:r w:rsidRPr="00395460">
              <w:rPr>
                <w:rFonts w:ascii="Calibri" w:eastAsia="Calibri" w:hAnsi="Calibri" w:cs="Arial Narrow"/>
                <w:szCs w:val="22"/>
                <w:lang w:eastAsia="en-US"/>
              </w:rPr>
              <w:t>W przypadku, gdy projekt dotyczy kilku podmiotów nie należy liczyć tych samych usług tyle razy, ile podmiotów jest zaangażowanych w projekt.</w:t>
            </w:r>
          </w:p>
          <w:p w:rsidR="001F0994" w:rsidRPr="00911273" w:rsidRDefault="001F0994" w:rsidP="00395460">
            <w:pPr>
              <w:autoSpaceDE w:val="0"/>
              <w:autoSpaceDN w:val="0"/>
              <w:adjustRightInd w:val="0"/>
              <w:spacing w:before="0" w:line="240" w:lineRule="auto"/>
              <w:jc w:val="both"/>
              <w:rPr>
                <w:rFonts w:asciiTheme="minorHAnsi" w:eastAsiaTheme="minorHAnsi" w:hAnsiTheme="minorHAnsi" w:cs="Arial"/>
                <w:szCs w:val="22"/>
                <w:lang w:eastAsia="en-US"/>
              </w:rPr>
            </w:pPr>
          </w:p>
        </w:tc>
        <w:tc>
          <w:tcPr>
            <w:tcW w:w="973" w:type="pct"/>
          </w:tcPr>
          <w:p w:rsidR="005657D8" w:rsidRPr="00911273" w:rsidRDefault="008A09D1" w:rsidP="007650AC">
            <w:pPr>
              <w:autoSpaceDE w:val="0"/>
              <w:autoSpaceDN w:val="0"/>
              <w:adjustRightInd w:val="0"/>
              <w:spacing w:before="0" w:line="240" w:lineRule="auto"/>
              <w:jc w:val="both"/>
              <w:rPr>
                <w:rFonts w:asciiTheme="minorHAnsi" w:hAnsiTheme="minorHAnsi"/>
                <w:szCs w:val="22"/>
              </w:rPr>
            </w:pPr>
            <w:r>
              <w:rPr>
                <w:rFonts w:asciiTheme="minorHAnsi" w:hAnsiTheme="minorHAnsi"/>
                <w:szCs w:val="22"/>
              </w:rPr>
              <w:t xml:space="preserve">RPO </w:t>
            </w:r>
          </w:p>
        </w:tc>
      </w:tr>
      <w:tr w:rsidR="00243BE7" w:rsidRPr="00243BE7" w:rsidTr="003D2C3D">
        <w:trPr>
          <w:trHeight w:val="20"/>
          <w:jc w:val="center"/>
        </w:trPr>
        <w:tc>
          <w:tcPr>
            <w:tcW w:w="1127" w:type="pct"/>
            <w:shd w:val="clear" w:color="auto" w:fill="auto"/>
          </w:tcPr>
          <w:p w:rsidR="005657D8" w:rsidRPr="00243BE7" w:rsidRDefault="009E33FB" w:rsidP="007650AC">
            <w:pPr>
              <w:spacing w:before="60" w:after="60" w:line="240" w:lineRule="auto"/>
              <w:rPr>
                <w:rFonts w:asciiTheme="minorHAnsi" w:hAnsiTheme="minorHAnsi"/>
                <w:szCs w:val="22"/>
              </w:rPr>
            </w:pPr>
            <w:r w:rsidRPr="00243BE7">
              <w:rPr>
                <w:rFonts w:asciiTheme="minorHAnsi" w:hAnsiTheme="minorHAnsi"/>
                <w:szCs w:val="22"/>
              </w:rPr>
              <w:t xml:space="preserve">Liczba podmiotów, które udostępniły </w:t>
            </w:r>
            <w:r w:rsidRPr="00243BE7">
              <w:rPr>
                <w:rFonts w:asciiTheme="minorHAnsi" w:hAnsiTheme="minorHAnsi"/>
                <w:szCs w:val="22"/>
              </w:rPr>
              <w:lastRenderedPageBreak/>
              <w:t>on-line informacje sektora publicznego</w:t>
            </w:r>
          </w:p>
        </w:tc>
        <w:tc>
          <w:tcPr>
            <w:tcW w:w="458" w:type="pct"/>
          </w:tcPr>
          <w:p w:rsidR="005657D8" w:rsidRPr="00243BE7" w:rsidRDefault="005657D8" w:rsidP="007650AC">
            <w:pPr>
              <w:spacing w:line="240" w:lineRule="auto"/>
              <w:jc w:val="both"/>
              <w:rPr>
                <w:szCs w:val="22"/>
              </w:rPr>
            </w:pPr>
            <w:r w:rsidRPr="00243BE7">
              <w:rPr>
                <w:rFonts w:asciiTheme="minorHAnsi" w:hAnsiTheme="minorHAnsi"/>
                <w:szCs w:val="22"/>
              </w:rPr>
              <w:lastRenderedPageBreak/>
              <w:t>szt.</w:t>
            </w:r>
          </w:p>
        </w:tc>
        <w:tc>
          <w:tcPr>
            <w:tcW w:w="2442" w:type="pct"/>
            <w:shd w:val="clear" w:color="auto" w:fill="auto"/>
          </w:tcPr>
          <w:p w:rsidR="00B62340" w:rsidRPr="00243BE7" w:rsidRDefault="00B62340" w:rsidP="00B62340">
            <w:pPr>
              <w:spacing w:line="240" w:lineRule="auto"/>
              <w:jc w:val="both"/>
              <w:rPr>
                <w:rFonts w:asciiTheme="minorHAnsi" w:hAnsiTheme="minorHAnsi"/>
                <w:szCs w:val="22"/>
              </w:rPr>
            </w:pPr>
            <w:r w:rsidRPr="00243BE7">
              <w:rPr>
                <w:rFonts w:asciiTheme="minorHAnsi" w:hAnsiTheme="minorHAnsi"/>
                <w:szCs w:val="22"/>
              </w:rPr>
              <w:t xml:space="preserve">Liczba podmiotów (wymienionych zgodnie z art. 9 ustawy o finansach publicznych), które w </w:t>
            </w:r>
            <w:r w:rsidRPr="00243BE7">
              <w:rPr>
                <w:rFonts w:asciiTheme="minorHAnsi" w:hAnsiTheme="minorHAnsi"/>
                <w:szCs w:val="22"/>
              </w:rPr>
              <w:lastRenderedPageBreak/>
              <w:t>wyniku interwencji udostępniły on-line informacje sektora publicznego.</w:t>
            </w:r>
          </w:p>
          <w:p w:rsidR="00B62340" w:rsidRPr="00243BE7" w:rsidRDefault="00B62340" w:rsidP="00B62340">
            <w:pPr>
              <w:spacing w:line="240" w:lineRule="auto"/>
              <w:jc w:val="both"/>
              <w:rPr>
                <w:rFonts w:asciiTheme="minorHAnsi" w:hAnsiTheme="minorHAnsi"/>
                <w:szCs w:val="22"/>
              </w:rPr>
            </w:pPr>
            <w:r w:rsidRPr="00243BE7">
              <w:rPr>
                <w:rFonts w:asciiTheme="minorHAnsi" w:hAnsiTheme="minorHAnsi"/>
                <w:szCs w:val="22"/>
              </w:rPr>
              <w:t xml:space="preserve">Przez informacje sektora publicznego należy rozumieć: </w:t>
            </w:r>
          </w:p>
          <w:p w:rsidR="00B62340" w:rsidRPr="00243BE7" w:rsidRDefault="00B62340" w:rsidP="00B62340">
            <w:pPr>
              <w:spacing w:line="240" w:lineRule="auto"/>
              <w:jc w:val="both"/>
              <w:rPr>
                <w:rFonts w:asciiTheme="minorHAnsi" w:hAnsiTheme="minorHAnsi"/>
                <w:szCs w:val="22"/>
              </w:rPr>
            </w:pPr>
            <w:r w:rsidRPr="00243BE7">
              <w:rPr>
                <w:rFonts w:asciiTheme="minorHAnsi" w:hAnsiTheme="minorHAnsi"/>
                <w:szCs w:val="22"/>
              </w:rPr>
              <w:t xml:space="preserve">-  informację publiczną w rozumieniu ustawy z dnia 6 września 2001 r. o dostępie do informacji publicznej, </w:t>
            </w:r>
          </w:p>
          <w:p w:rsidR="00B62340" w:rsidRPr="00243BE7" w:rsidRDefault="00B62340" w:rsidP="00B62340">
            <w:pPr>
              <w:spacing w:line="240" w:lineRule="auto"/>
              <w:jc w:val="both"/>
              <w:rPr>
                <w:rFonts w:asciiTheme="minorHAnsi" w:hAnsiTheme="minorHAnsi"/>
                <w:szCs w:val="22"/>
              </w:rPr>
            </w:pPr>
            <w:r w:rsidRPr="00243BE7">
              <w:rPr>
                <w:rFonts w:asciiTheme="minorHAnsi" w:hAnsiTheme="minorHAnsi"/>
                <w:szCs w:val="22"/>
              </w:rPr>
              <w:t>- informację sektora publicznego w rozumieniu dyrektywy 2003/98/WE dnia 17 listopada  2003  r. w sprawie ponownego wykorzystywania informacji sektora publicznego (w brzmieniu zmienionym przez dyrektywę 2013/37/UE zmieniającą dyrektywę 2003/98/WE dnia 17 listopada  2003  r.  w sprawie ponownego wykorzystywania informacji sektora publicznego),</w:t>
            </w:r>
          </w:p>
          <w:p w:rsidR="00B62340" w:rsidRPr="00243BE7" w:rsidRDefault="00B62340" w:rsidP="00B62340">
            <w:pPr>
              <w:spacing w:line="240" w:lineRule="auto"/>
              <w:jc w:val="both"/>
              <w:rPr>
                <w:rFonts w:asciiTheme="minorHAnsi" w:hAnsiTheme="minorHAnsi"/>
                <w:szCs w:val="22"/>
              </w:rPr>
            </w:pPr>
            <w:r w:rsidRPr="00243BE7">
              <w:rPr>
                <w:rFonts w:asciiTheme="minorHAnsi" w:hAnsiTheme="minorHAnsi"/>
                <w:szCs w:val="22"/>
              </w:rPr>
              <w:t>- zasoby audiowizualne, pod warunkiem ich udostępniania do ponownego wykorzystywania,</w:t>
            </w:r>
          </w:p>
          <w:p w:rsidR="00B62340" w:rsidRPr="00243BE7" w:rsidRDefault="00B62340" w:rsidP="00B62340">
            <w:pPr>
              <w:spacing w:line="240" w:lineRule="auto"/>
              <w:jc w:val="both"/>
              <w:rPr>
                <w:rFonts w:asciiTheme="minorHAnsi" w:hAnsiTheme="minorHAnsi"/>
                <w:szCs w:val="22"/>
              </w:rPr>
            </w:pPr>
            <w:r w:rsidRPr="00243BE7">
              <w:rPr>
                <w:rFonts w:asciiTheme="minorHAnsi" w:hAnsiTheme="minorHAnsi"/>
                <w:szCs w:val="22"/>
              </w:rPr>
              <w:t>- zasoby archiwalne, pod warunkiem ich udostępnienia do ponownego wykorzystania,</w:t>
            </w:r>
          </w:p>
          <w:p w:rsidR="00B62340" w:rsidRPr="00243BE7" w:rsidRDefault="00B62340" w:rsidP="00B62340">
            <w:pPr>
              <w:spacing w:line="240" w:lineRule="auto"/>
              <w:jc w:val="both"/>
              <w:rPr>
                <w:rFonts w:asciiTheme="minorHAnsi" w:hAnsiTheme="minorHAnsi"/>
                <w:szCs w:val="22"/>
              </w:rPr>
            </w:pPr>
            <w:r w:rsidRPr="00243BE7">
              <w:rPr>
                <w:rFonts w:asciiTheme="minorHAnsi" w:hAnsiTheme="minorHAnsi"/>
                <w:szCs w:val="22"/>
              </w:rPr>
              <w:t>- zasoby kultury, pod warunkiem ich udostepnienia do ponownego wykorzystania.</w:t>
            </w:r>
          </w:p>
          <w:p w:rsidR="009E33FB" w:rsidRPr="00243BE7" w:rsidRDefault="00B62340" w:rsidP="00B62340">
            <w:pPr>
              <w:spacing w:line="240" w:lineRule="auto"/>
              <w:jc w:val="both"/>
              <w:rPr>
                <w:rFonts w:asciiTheme="minorHAnsi" w:hAnsiTheme="minorHAnsi"/>
                <w:szCs w:val="22"/>
              </w:rPr>
            </w:pPr>
            <w:r w:rsidRPr="00243BE7">
              <w:rPr>
                <w:rFonts w:asciiTheme="minorHAnsi" w:hAnsiTheme="minorHAnsi"/>
                <w:szCs w:val="22"/>
              </w:rPr>
              <w:t>- zasoby nauki, pod warunkiem ich udostępniania do ponownego wykorzystywania.</w:t>
            </w:r>
          </w:p>
          <w:p w:rsidR="005657D8" w:rsidRPr="00243BE7" w:rsidRDefault="009E33FB" w:rsidP="009E33FB">
            <w:pPr>
              <w:spacing w:line="240" w:lineRule="auto"/>
              <w:jc w:val="both"/>
              <w:rPr>
                <w:rFonts w:asciiTheme="minorHAnsi" w:hAnsiTheme="minorHAnsi"/>
                <w:szCs w:val="22"/>
              </w:rPr>
            </w:pPr>
            <w:r w:rsidRPr="00243BE7">
              <w:rPr>
                <w:rFonts w:asciiTheme="minorHAnsi" w:hAnsiTheme="minorHAnsi"/>
                <w:szCs w:val="22"/>
              </w:rPr>
              <w:t>Metoda pomiaru: Do wartości wskaźnika wliczyć należy liczbę wszystkich podmiotów, które w wyniku realizacji projektu, udostępniły on-line informacje sektora publicznego, tj. beneficjenta, jak i partnerów.</w:t>
            </w:r>
          </w:p>
        </w:tc>
        <w:tc>
          <w:tcPr>
            <w:tcW w:w="973" w:type="pct"/>
          </w:tcPr>
          <w:p w:rsidR="005657D8" w:rsidRPr="00243BE7" w:rsidRDefault="0015486C" w:rsidP="007650AC">
            <w:pPr>
              <w:spacing w:line="240" w:lineRule="auto"/>
              <w:jc w:val="both"/>
              <w:rPr>
                <w:rFonts w:asciiTheme="minorHAnsi" w:hAnsiTheme="minorHAnsi"/>
                <w:szCs w:val="22"/>
              </w:rPr>
            </w:pPr>
            <w:r w:rsidRPr="00243BE7">
              <w:rPr>
                <w:rFonts w:asciiTheme="minorHAnsi" w:hAnsiTheme="minorHAnsi"/>
                <w:szCs w:val="22"/>
              </w:rPr>
              <w:lastRenderedPageBreak/>
              <w:t>RPO</w:t>
            </w:r>
          </w:p>
        </w:tc>
      </w:tr>
      <w:tr w:rsidR="008374FF" w:rsidRPr="008374FF" w:rsidTr="003D2C3D">
        <w:trPr>
          <w:trHeight w:val="20"/>
          <w:jc w:val="center"/>
        </w:trPr>
        <w:tc>
          <w:tcPr>
            <w:tcW w:w="1127" w:type="pct"/>
            <w:shd w:val="clear" w:color="auto" w:fill="auto"/>
          </w:tcPr>
          <w:p w:rsidR="005657D8" w:rsidRPr="008374FF" w:rsidRDefault="009E33FB" w:rsidP="007650AC">
            <w:pPr>
              <w:spacing w:before="40" w:after="40" w:line="240" w:lineRule="auto"/>
              <w:rPr>
                <w:rFonts w:asciiTheme="minorHAnsi" w:hAnsiTheme="minorHAnsi"/>
                <w:szCs w:val="22"/>
              </w:rPr>
            </w:pPr>
            <w:r w:rsidRPr="008374FF">
              <w:rPr>
                <w:rFonts w:asciiTheme="minorHAnsi" w:hAnsiTheme="minorHAnsi"/>
                <w:szCs w:val="22"/>
              </w:rPr>
              <w:lastRenderedPageBreak/>
              <w:t>Liczba urzędów, które wdrożyły katalog rekomendacji dotyczących awansu cyfrowego</w:t>
            </w:r>
          </w:p>
          <w:p w:rsidR="009E33FB" w:rsidRPr="008374FF" w:rsidRDefault="009E33FB" w:rsidP="009E33FB">
            <w:pPr>
              <w:spacing w:before="40" w:after="40" w:line="240" w:lineRule="auto"/>
              <w:ind w:left="316"/>
              <w:contextualSpacing/>
              <w:rPr>
                <w:rFonts w:asciiTheme="minorHAnsi" w:eastAsiaTheme="minorHAnsi" w:hAnsiTheme="minorHAnsi" w:cs="Arial"/>
                <w:szCs w:val="22"/>
                <w:lang w:eastAsia="en-US"/>
              </w:rPr>
            </w:pPr>
          </w:p>
          <w:p w:rsidR="009E33FB" w:rsidRPr="008374FF" w:rsidRDefault="009E33FB" w:rsidP="007650AC">
            <w:pPr>
              <w:spacing w:before="40" w:after="40" w:line="240" w:lineRule="auto"/>
              <w:rPr>
                <w:rFonts w:asciiTheme="minorHAnsi" w:hAnsiTheme="minorHAnsi"/>
                <w:szCs w:val="22"/>
              </w:rPr>
            </w:pPr>
          </w:p>
        </w:tc>
        <w:tc>
          <w:tcPr>
            <w:tcW w:w="458" w:type="pct"/>
          </w:tcPr>
          <w:p w:rsidR="005657D8" w:rsidRPr="008374FF" w:rsidRDefault="005657D8" w:rsidP="007650AC">
            <w:pPr>
              <w:spacing w:line="240" w:lineRule="auto"/>
              <w:jc w:val="both"/>
              <w:rPr>
                <w:szCs w:val="22"/>
              </w:rPr>
            </w:pPr>
            <w:r w:rsidRPr="008374FF">
              <w:rPr>
                <w:rFonts w:asciiTheme="minorHAnsi" w:hAnsiTheme="minorHAnsi"/>
                <w:szCs w:val="22"/>
              </w:rPr>
              <w:t>szt.</w:t>
            </w:r>
          </w:p>
        </w:tc>
        <w:tc>
          <w:tcPr>
            <w:tcW w:w="2442" w:type="pct"/>
            <w:shd w:val="clear" w:color="auto" w:fill="auto"/>
          </w:tcPr>
          <w:p w:rsidR="008374FF" w:rsidRPr="008374FF" w:rsidRDefault="008374FF" w:rsidP="008374FF">
            <w:pPr>
              <w:autoSpaceDE w:val="0"/>
              <w:autoSpaceDN w:val="0"/>
              <w:adjustRightInd w:val="0"/>
              <w:spacing w:before="0" w:line="240" w:lineRule="auto"/>
              <w:jc w:val="both"/>
              <w:rPr>
                <w:rFonts w:asciiTheme="minorHAnsi" w:hAnsiTheme="minorHAnsi"/>
                <w:b/>
                <w:szCs w:val="22"/>
              </w:rPr>
            </w:pPr>
            <w:r w:rsidRPr="008374FF">
              <w:rPr>
                <w:rFonts w:asciiTheme="minorHAnsi" w:hAnsiTheme="minorHAnsi"/>
                <w:b/>
                <w:szCs w:val="22"/>
              </w:rPr>
              <w:t>Definicja wskaźnika na potrzeby ogłaszanego konkursu:</w:t>
            </w:r>
          </w:p>
          <w:p w:rsidR="008374FF" w:rsidRPr="008374FF" w:rsidRDefault="008374FF" w:rsidP="008374FF">
            <w:pPr>
              <w:autoSpaceDE w:val="0"/>
              <w:autoSpaceDN w:val="0"/>
              <w:adjustRightInd w:val="0"/>
              <w:spacing w:before="0" w:line="240" w:lineRule="auto"/>
              <w:jc w:val="both"/>
              <w:rPr>
                <w:rFonts w:asciiTheme="minorHAnsi" w:hAnsiTheme="minorHAnsi"/>
                <w:szCs w:val="22"/>
              </w:rPr>
            </w:pPr>
          </w:p>
          <w:p w:rsidR="008374FF" w:rsidRPr="008374FF" w:rsidRDefault="008374FF" w:rsidP="008374FF">
            <w:pPr>
              <w:autoSpaceDE w:val="0"/>
              <w:autoSpaceDN w:val="0"/>
              <w:adjustRightInd w:val="0"/>
              <w:spacing w:before="0" w:line="240" w:lineRule="auto"/>
              <w:jc w:val="both"/>
              <w:rPr>
                <w:rFonts w:asciiTheme="minorHAnsi" w:hAnsiTheme="minorHAnsi"/>
                <w:szCs w:val="22"/>
              </w:rPr>
            </w:pPr>
            <w:r w:rsidRPr="008374FF">
              <w:rPr>
                <w:rFonts w:asciiTheme="minorHAnsi" w:hAnsiTheme="minorHAnsi"/>
                <w:szCs w:val="22"/>
              </w:rPr>
              <w:t xml:space="preserve">Ze względu na brak opracowanego przez ministra właściwego do spraw informatyzacji katalogu rekomendacji awansu cyfrowego (tzw. Katalog Rekomendacji Cyfrowego Urzędu - KRCU), wskaźnik może być wykorzystywany </w:t>
            </w:r>
          </w:p>
          <w:p w:rsidR="008374FF" w:rsidRPr="008374FF" w:rsidRDefault="008374FF" w:rsidP="008374FF">
            <w:pPr>
              <w:autoSpaceDE w:val="0"/>
              <w:autoSpaceDN w:val="0"/>
              <w:adjustRightInd w:val="0"/>
              <w:spacing w:before="0" w:line="240" w:lineRule="auto"/>
              <w:jc w:val="both"/>
              <w:rPr>
                <w:rFonts w:asciiTheme="minorHAnsi" w:hAnsiTheme="minorHAnsi"/>
                <w:szCs w:val="22"/>
              </w:rPr>
            </w:pPr>
            <w:r w:rsidRPr="008374FF">
              <w:rPr>
                <w:rFonts w:asciiTheme="minorHAnsi" w:hAnsiTheme="minorHAnsi"/>
                <w:szCs w:val="22"/>
              </w:rPr>
              <w:t>w projektach administracji publicznej,  przewidujących wsparcie rozwiązań „</w:t>
            </w:r>
            <w:proofErr w:type="spellStart"/>
            <w:r w:rsidRPr="008374FF">
              <w:rPr>
                <w:rFonts w:asciiTheme="minorHAnsi" w:hAnsiTheme="minorHAnsi"/>
                <w:szCs w:val="22"/>
              </w:rPr>
              <w:t>back-office</w:t>
            </w:r>
            <w:proofErr w:type="spellEnd"/>
            <w:r w:rsidRPr="008374FF">
              <w:rPr>
                <w:rFonts w:asciiTheme="minorHAnsi" w:hAnsiTheme="minorHAnsi"/>
                <w:szCs w:val="22"/>
              </w:rPr>
              <w:t>” .</w:t>
            </w:r>
          </w:p>
          <w:p w:rsidR="008374FF" w:rsidRPr="008374FF" w:rsidRDefault="008374FF" w:rsidP="008374FF">
            <w:pPr>
              <w:autoSpaceDE w:val="0"/>
              <w:autoSpaceDN w:val="0"/>
              <w:adjustRightInd w:val="0"/>
              <w:spacing w:before="0" w:line="240" w:lineRule="auto"/>
              <w:jc w:val="both"/>
              <w:rPr>
                <w:rFonts w:asciiTheme="minorHAnsi" w:hAnsiTheme="minorHAnsi"/>
                <w:szCs w:val="22"/>
              </w:rPr>
            </w:pPr>
          </w:p>
          <w:p w:rsidR="008374FF" w:rsidRPr="008374FF" w:rsidRDefault="008374FF" w:rsidP="008374FF">
            <w:pPr>
              <w:autoSpaceDE w:val="0"/>
              <w:autoSpaceDN w:val="0"/>
              <w:adjustRightInd w:val="0"/>
              <w:spacing w:before="0" w:line="240" w:lineRule="auto"/>
              <w:jc w:val="both"/>
              <w:rPr>
                <w:rFonts w:asciiTheme="minorHAnsi" w:hAnsiTheme="minorHAnsi"/>
                <w:szCs w:val="22"/>
              </w:rPr>
            </w:pPr>
            <w:r w:rsidRPr="008374FF">
              <w:rPr>
                <w:rFonts w:asciiTheme="minorHAnsi" w:hAnsiTheme="minorHAnsi"/>
                <w:szCs w:val="22"/>
              </w:rPr>
              <w:t>Wnioskodawca wybierając ten wskaźnik, musi dokonać „samooceny”.</w:t>
            </w:r>
          </w:p>
          <w:p w:rsidR="008374FF" w:rsidRPr="008374FF" w:rsidRDefault="008374FF" w:rsidP="008374FF">
            <w:pPr>
              <w:autoSpaceDE w:val="0"/>
              <w:autoSpaceDN w:val="0"/>
              <w:adjustRightInd w:val="0"/>
              <w:spacing w:before="0" w:line="240" w:lineRule="auto"/>
              <w:jc w:val="both"/>
              <w:rPr>
                <w:rFonts w:asciiTheme="minorHAnsi" w:hAnsiTheme="minorHAnsi"/>
                <w:szCs w:val="22"/>
              </w:rPr>
            </w:pPr>
          </w:p>
          <w:p w:rsidR="00F9235E" w:rsidRDefault="008374FF" w:rsidP="00F9235E">
            <w:pPr>
              <w:autoSpaceDE w:val="0"/>
              <w:autoSpaceDN w:val="0"/>
              <w:adjustRightInd w:val="0"/>
              <w:spacing w:before="0" w:line="240" w:lineRule="auto"/>
              <w:rPr>
                <w:rFonts w:ascii="Calibri" w:hAnsi="Calibri"/>
                <w:szCs w:val="22"/>
                <w:lang w:eastAsia="en-US"/>
              </w:rPr>
            </w:pPr>
            <w:r w:rsidRPr="008374FF">
              <w:rPr>
                <w:rFonts w:asciiTheme="minorHAnsi" w:hAnsiTheme="minorHAnsi"/>
                <w:szCs w:val="22"/>
              </w:rPr>
              <w:lastRenderedPageBreak/>
              <w:t xml:space="preserve"> </w:t>
            </w:r>
            <w:r w:rsidR="00F9235E">
              <w:rPr>
                <w:rFonts w:ascii="Calibri" w:hAnsi="Calibri"/>
                <w:b/>
                <w:szCs w:val="22"/>
                <w:lang w:eastAsia="en-US"/>
              </w:rPr>
              <w:t>Samoocena</w:t>
            </w:r>
            <w:r w:rsidR="00F9235E">
              <w:rPr>
                <w:rFonts w:ascii="Calibri" w:hAnsi="Calibri"/>
                <w:szCs w:val="22"/>
                <w:lang w:eastAsia="en-US"/>
              </w:rPr>
              <w:t xml:space="preserve"> - analiza stanu cyfryzacji jednostki  (w oparciu o formularz zamieszczony na stronie: </w:t>
            </w:r>
            <w:hyperlink r:id="rId9" w:history="1">
              <w:r w:rsidR="00F9235E" w:rsidRPr="00F9235E">
                <w:rPr>
                  <w:rStyle w:val="Hipercze"/>
                  <w:rFonts w:ascii="Calibri" w:hAnsi="Calibri" w:cs="Arial"/>
                </w:rPr>
                <w:t>www.rpo.dolnyslask.pl</w:t>
              </w:r>
            </w:hyperlink>
            <w:r w:rsidR="00F9235E" w:rsidRPr="00F9235E">
              <w:rPr>
                <w:rFonts w:ascii="Calibri" w:hAnsi="Calibri"/>
                <w:szCs w:val="22"/>
                <w:lang w:eastAsia="en-US"/>
              </w:rPr>
              <w:t>)</w:t>
            </w:r>
            <w:r w:rsidR="00F9235E">
              <w:rPr>
                <w:rFonts w:ascii="Calibri" w:hAnsi="Calibri"/>
                <w:szCs w:val="22"/>
                <w:lang w:eastAsia="en-US"/>
              </w:rPr>
              <w:t>.</w:t>
            </w:r>
          </w:p>
          <w:p w:rsidR="008374FF" w:rsidRPr="008374FF" w:rsidRDefault="008374FF" w:rsidP="008374FF">
            <w:pPr>
              <w:autoSpaceDE w:val="0"/>
              <w:autoSpaceDN w:val="0"/>
              <w:adjustRightInd w:val="0"/>
              <w:spacing w:before="0" w:line="240" w:lineRule="auto"/>
              <w:jc w:val="both"/>
              <w:rPr>
                <w:rFonts w:asciiTheme="minorHAnsi" w:hAnsiTheme="minorHAnsi"/>
                <w:szCs w:val="22"/>
              </w:rPr>
            </w:pPr>
          </w:p>
          <w:p w:rsidR="008374FF" w:rsidRPr="008374FF" w:rsidRDefault="008374FF" w:rsidP="008374FF">
            <w:pPr>
              <w:autoSpaceDE w:val="0"/>
              <w:autoSpaceDN w:val="0"/>
              <w:adjustRightInd w:val="0"/>
              <w:spacing w:before="0" w:line="240" w:lineRule="auto"/>
              <w:jc w:val="both"/>
              <w:rPr>
                <w:rFonts w:asciiTheme="minorHAnsi" w:hAnsiTheme="minorHAnsi"/>
                <w:szCs w:val="22"/>
              </w:rPr>
            </w:pPr>
            <w:r w:rsidRPr="008374FF">
              <w:rPr>
                <w:rFonts w:asciiTheme="minorHAnsi" w:hAnsiTheme="minorHAnsi"/>
                <w:szCs w:val="22"/>
              </w:rPr>
              <w:t xml:space="preserve">W przypadku projektów partnerskich samoocena musi zostać dokonana przez każdego partnera z osobna. </w:t>
            </w:r>
          </w:p>
          <w:p w:rsidR="008374FF" w:rsidRPr="008374FF" w:rsidRDefault="008374FF" w:rsidP="008374FF">
            <w:pPr>
              <w:autoSpaceDE w:val="0"/>
              <w:autoSpaceDN w:val="0"/>
              <w:adjustRightInd w:val="0"/>
              <w:spacing w:before="0" w:line="240" w:lineRule="auto"/>
              <w:jc w:val="both"/>
              <w:rPr>
                <w:rFonts w:asciiTheme="minorHAnsi" w:hAnsiTheme="minorHAnsi"/>
                <w:szCs w:val="22"/>
              </w:rPr>
            </w:pPr>
          </w:p>
          <w:p w:rsidR="008374FF" w:rsidRPr="008374FF" w:rsidRDefault="008374FF" w:rsidP="008374FF">
            <w:pPr>
              <w:autoSpaceDE w:val="0"/>
              <w:autoSpaceDN w:val="0"/>
              <w:adjustRightInd w:val="0"/>
              <w:spacing w:before="0" w:line="240" w:lineRule="auto"/>
              <w:jc w:val="both"/>
              <w:rPr>
                <w:rFonts w:asciiTheme="minorHAnsi" w:hAnsiTheme="minorHAnsi"/>
                <w:szCs w:val="22"/>
              </w:rPr>
            </w:pPr>
            <w:r w:rsidRPr="008374FF">
              <w:rPr>
                <w:rFonts w:asciiTheme="minorHAnsi" w:hAnsiTheme="minorHAnsi"/>
                <w:szCs w:val="22"/>
              </w:rPr>
              <w:t>Metoda pomiaru: Urzędy mogą składać się z biur/placówek pozamiejscowych /delegatur itp. Urząd jest aparatem pomocniczym organów administracji publicznej, w tym jednostek podległych i nadzorowanych. Wskaźnik obejmuje liczbę wszystkich urzędów, które dokonały samooceny, w tym poszczególnych partnerów wdrażających rozwiązania informatyczne będące przedmiotem wspólnego projektu.</w:t>
            </w:r>
          </w:p>
          <w:p w:rsidR="00395460" w:rsidRPr="008374FF" w:rsidRDefault="00395460" w:rsidP="00BD4047">
            <w:pPr>
              <w:autoSpaceDE w:val="0"/>
              <w:autoSpaceDN w:val="0"/>
              <w:adjustRightInd w:val="0"/>
              <w:spacing w:before="0" w:line="240" w:lineRule="auto"/>
              <w:jc w:val="both"/>
              <w:rPr>
                <w:rFonts w:asciiTheme="minorHAnsi" w:hAnsiTheme="minorHAnsi"/>
                <w:b/>
                <w:szCs w:val="22"/>
              </w:rPr>
            </w:pPr>
          </w:p>
        </w:tc>
        <w:tc>
          <w:tcPr>
            <w:tcW w:w="973" w:type="pct"/>
          </w:tcPr>
          <w:p w:rsidR="005657D8" w:rsidRPr="008374FF" w:rsidRDefault="009E33FB" w:rsidP="007650AC">
            <w:pPr>
              <w:spacing w:line="240" w:lineRule="auto"/>
              <w:jc w:val="both"/>
              <w:rPr>
                <w:rFonts w:asciiTheme="minorHAnsi" w:hAnsiTheme="minorHAnsi"/>
                <w:szCs w:val="22"/>
              </w:rPr>
            </w:pPr>
            <w:r w:rsidRPr="008374FF">
              <w:rPr>
                <w:rFonts w:asciiTheme="minorHAnsi" w:hAnsiTheme="minorHAnsi"/>
                <w:szCs w:val="22"/>
              </w:rPr>
              <w:lastRenderedPageBreak/>
              <w:t>RPO</w:t>
            </w:r>
          </w:p>
        </w:tc>
      </w:tr>
      <w:tr w:rsidR="00E2644E" w:rsidRPr="009E33FB" w:rsidTr="003D2C3D">
        <w:trPr>
          <w:trHeight w:val="20"/>
          <w:jc w:val="center"/>
        </w:trPr>
        <w:tc>
          <w:tcPr>
            <w:tcW w:w="1127" w:type="pct"/>
            <w:shd w:val="clear" w:color="auto" w:fill="auto"/>
          </w:tcPr>
          <w:p w:rsidR="00E2644E" w:rsidRPr="00E2644E" w:rsidRDefault="00E2644E" w:rsidP="007650AC">
            <w:pPr>
              <w:spacing w:before="40" w:after="40" w:line="240" w:lineRule="auto"/>
              <w:rPr>
                <w:rFonts w:ascii="Calibri" w:hAnsi="Calibri"/>
                <w:color w:val="FF0000"/>
                <w:szCs w:val="22"/>
              </w:rPr>
            </w:pPr>
            <w:r w:rsidRPr="00E2644E">
              <w:rPr>
                <w:rFonts w:ascii="Calibri" w:hAnsi="Calibri" w:cs="Arial"/>
              </w:rPr>
              <w:lastRenderedPageBreak/>
              <w:t>Liczba usług publicznych udostępnionych on-line o stopniu dojrzałości co najmniej 4-transakcja</w:t>
            </w:r>
          </w:p>
        </w:tc>
        <w:tc>
          <w:tcPr>
            <w:tcW w:w="458" w:type="pct"/>
          </w:tcPr>
          <w:p w:rsidR="00E2644E" w:rsidRPr="009E33FB" w:rsidRDefault="00CD28DA" w:rsidP="007650AC">
            <w:pPr>
              <w:spacing w:line="240" w:lineRule="auto"/>
              <w:jc w:val="both"/>
              <w:rPr>
                <w:rFonts w:asciiTheme="minorHAnsi" w:hAnsiTheme="minorHAnsi"/>
                <w:color w:val="FF0000"/>
                <w:szCs w:val="22"/>
              </w:rPr>
            </w:pPr>
            <w:r>
              <w:rPr>
                <w:rFonts w:asciiTheme="minorHAnsi" w:eastAsiaTheme="minorHAnsi" w:hAnsiTheme="minorHAnsi"/>
                <w:szCs w:val="22"/>
                <w:lang w:eastAsia="en-US"/>
              </w:rPr>
              <w:t>s</w:t>
            </w:r>
            <w:r w:rsidRPr="00911273">
              <w:rPr>
                <w:rFonts w:asciiTheme="minorHAnsi" w:eastAsiaTheme="minorHAnsi" w:hAnsiTheme="minorHAnsi"/>
                <w:szCs w:val="22"/>
                <w:lang w:eastAsia="en-US"/>
              </w:rPr>
              <w:t>zt</w:t>
            </w:r>
            <w:r>
              <w:rPr>
                <w:rFonts w:asciiTheme="minorHAnsi" w:eastAsiaTheme="minorHAnsi" w:hAnsiTheme="minorHAnsi"/>
                <w:szCs w:val="22"/>
                <w:lang w:eastAsia="en-US"/>
              </w:rPr>
              <w:t>.</w:t>
            </w:r>
          </w:p>
        </w:tc>
        <w:tc>
          <w:tcPr>
            <w:tcW w:w="2442" w:type="pct"/>
            <w:shd w:val="clear" w:color="auto" w:fill="auto"/>
          </w:tcPr>
          <w:p w:rsidR="00CD28DA" w:rsidRPr="00CD28DA" w:rsidRDefault="00CD28DA" w:rsidP="00CD28DA">
            <w:pPr>
              <w:spacing w:before="0" w:line="276" w:lineRule="auto"/>
              <w:jc w:val="both"/>
              <w:rPr>
                <w:rFonts w:ascii="Calibri" w:eastAsia="Calibri" w:hAnsi="Calibri" w:cs="Arial Narrow"/>
                <w:szCs w:val="22"/>
                <w:lang w:eastAsia="en-US"/>
              </w:rPr>
            </w:pPr>
            <w:r w:rsidRPr="00CD28DA">
              <w:rPr>
                <w:rFonts w:ascii="Calibri" w:eastAsia="Calibri" w:hAnsi="Calibri" w:cs="Arial Narrow"/>
                <w:szCs w:val="22"/>
                <w:lang w:eastAsia="en-US"/>
              </w:rPr>
              <w:t xml:space="preserve">Usługa on-line o stopniu dojrzałości 4 umożliwia pełne załatwienie danej sprawy drogą elektroniczną, łącznie z ewentualną płatnością. W ramach wskaźnika należy ujmować również usługi o stopniu dojrzałości 5, czyli takie, które oprócz możliwości pełnego załatwienia danej sprawy zawierają dodatkowo mechanizmy personalizacji, tj. dostosowania sposobu świadczenia do szczególnych uwarunkowań i potrzeb klienta (np. oferowanie częściowo wypełnionych formularzy, poinformowanie klienta </w:t>
            </w:r>
            <w:proofErr w:type="spellStart"/>
            <w:r w:rsidRPr="00CD28DA">
              <w:rPr>
                <w:rFonts w:ascii="Calibri" w:eastAsia="Calibri" w:hAnsi="Calibri" w:cs="Arial Narrow"/>
                <w:szCs w:val="22"/>
                <w:lang w:eastAsia="en-US"/>
              </w:rPr>
              <w:t>sms-em</w:t>
            </w:r>
            <w:proofErr w:type="spellEnd"/>
            <w:r w:rsidRPr="00CD28DA">
              <w:rPr>
                <w:rFonts w:ascii="Calibri" w:eastAsia="Calibri" w:hAnsi="Calibri" w:cs="Arial Narrow"/>
                <w:szCs w:val="22"/>
                <w:lang w:eastAsia="en-US"/>
              </w:rPr>
              <w:t xml:space="preserve"> o zbliżającej się potrzebie wykonania danej czynności urzędowej). </w:t>
            </w:r>
          </w:p>
          <w:p w:rsidR="00CD28DA" w:rsidRPr="00CD28DA" w:rsidRDefault="00CD28DA" w:rsidP="00CD28DA">
            <w:pPr>
              <w:spacing w:before="0" w:line="276" w:lineRule="auto"/>
              <w:jc w:val="both"/>
              <w:rPr>
                <w:rFonts w:ascii="Calibri" w:eastAsia="Calibri" w:hAnsi="Calibri" w:cs="Arial Narrow"/>
                <w:szCs w:val="22"/>
                <w:lang w:eastAsia="en-US"/>
              </w:rPr>
            </w:pPr>
            <w:r w:rsidRPr="00CD28DA">
              <w:rPr>
                <w:rFonts w:ascii="Calibri" w:eastAsia="Calibri" w:hAnsi="Calibri" w:cs="Arial Narrow"/>
                <w:szCs w:val="22"/>
                <w:lang w:eastAsia="en-US"/>
              </w:rPr>
              <w:t>W ramach wskaźnika należy ujmować usługi:</w:t>
            </w:r>
          </w:p>
          <w:p w:rsidR="00CD28DA" w:rsidRPr="00CD28DA" w:rsidRDefault="00CD28DA" w:rsidP="00CD28DA">
            <w:pPr>
              <w:spacing w:before="0" w:line="276" w:lineRule="auto"/>
              <w:jc w:val="both"/>
              <w:rPr>
                <w:rFonts w:ascii="Calibri" w:eastAsia="Calibri" w:hAnsi="Calibri" w:cs="Arial Narrow"/>
                <w:szCs w:val="22"/>
                <w:lang w:eastAsia="en-US"/>
              </w:rPr>
            </w:pPr>
            <w:r w:rsidRPr="00CD28DA">
              <w:rPr>
                <w:rFonts w:ascii="Calibri" w:eastAsia="Calibri" w:hAnsi="Calibri" w:cs="Arial Narrow"/>
                <w:szCs w:val="22"/>
                <w:lang w:eastAsia="en-US"/>
              </w:rPr>
              <w:t>- nowe  lub istotnie udoskonalone</w:t>
            </w:r>
          </w:p>
          <w:p w:rsidR="00E2644E" w:rsidRDefault="00CD28DA" w:rsidP="00CD28DA">
            <w:pPr>
              <w:autoSpaceDE w:val="0"/>
              <w:autoSpaceDN w:val="0"/>
              <w:adjustRightInd w:val="0"/>
              <w:spacing w:before="0" w:line="240" w:lineRule="auto"/>
              <w:jc w:val="both"/>
              <w:rPr>
                <w:rFonts w:ascii="Calibri" w:eastAsia="Calibri" w:hAnsi="Calibri" w:cs="Arial Narrow"/>
                <w:szCs w:val="22"/>
                <w:lang w:eastAsia="en-US"/>
              </w:rPr>
            </w:pPr>
            <w:r w:rsidRPr="00CD28DA">
              <w:rPr>
                <w:rFonts w:ascii="Calibri" w:eastAsia="Calibri" w:hAnsi="Calibri" w:cs="Arial Narrow"/>
                <w:szCs w:val="22"/>
                <w:lang w:eastAsia="en-US"/>
              </w:rPr>
              <w:t xml:space="preserve">- skierowane do klientów spoza administracji publicznej: obywateli (usługi A2C, Administration to </w:t>
            </w:r>
            <w:proofErr w:type="spellStart"/>
            <w:r w:rsidRPr="00CD28DA">
              <w:rPr>
                <w:rFonts w:ascii="Calibri" w:eastAsia="Calibri" w:hAnsi="Calibri" w:cs="Arial Narrow"/>
                <w:szCs w:val="22"/>
                <w:lang w:eastAsia="en-US"/>
              </w:rPr>
              <w:t>C</w:t>
            </w:r>
            <w:r>
              <w:rPr>
                <w:rFonts w:ascii="Calibri" w:eastAsia="Calibri" w:hAnsi="Calibri" w:cs="Arial Narrow"/>
                <w:szCs w:val="22"/>
                <w:lang w:eastAsia="en-US"/>
              </w:rPr>
              <w:t>itizen</w:t>
            </w:r>
            <w:proofErr w:type="spellEnd"/>
            <w:r w:rsidRPr="00CD28DA">
              <w:rPr>
                <w:rFonts w:ascii="Calibri" w:eastAsia="Calibri" w:hAnsi="Calibri" w:cs="Arial Narrow"/>
                <w:szCs w:val="22"/>
                <w:lang w:eastAsia="en-US"/>
              </w:rPr>
              <w:t>) i/lub przedsiębiorców (A2B, Administration to Business). Powyższe warunki należy traktować łącznie.</w:t>
            </w:r>
          </w:p>
          <w:p w:rsidR="00CD28DA" w:rsidRDefault="00CD28DA" w:rsidP="00CD28DA">
            <w:pPr>
              <w:autoSpaceDE w:val="0"/>
              <w:autoSpaceDN w:val="0"/>
              <w:adjustRightInd w:val="0"/>
              <w:spacing w:before="0" w:line="240" w:lineRule="auto"/>
              <w:jc w:val="both"/>
              <w:rPr>
                <w:rFonts w:ascii="Calibri" w:eastAsia="Calibri" w:hAnsi="Calibri" w:cs="Arial Narrow"/>
                <w:szCs w:val="22"/>
                <w:lang w:eastAsia="en-US"/>
              </w:rPr>
            </w:pPr>
          </w:p>
          <w:p w:rsidR="00CD28DA" w:rsidRPr="00CD28DA" w:rsidRDefault="00CD28DA" w:rsidP="00CD28DA">
            <w:pPr>
              <w:spacing w:before="0" w:line="276" w:lineRule="auto"/>
              <w:jc w:val="both"/>
              <w:rPr>
                <w:rFonts w:ascii="Calibri" w:eastAsia="Calibri" w:hAnsi="Calibri" w:cs="Arial Narrow"/>
                <w:szCs w:val="22"/>
                <w:lang w:eastAsia="en-US"/>
              </w:rPr>
            </w:pPr>
            <w:r w:rsidRPr="00CD28DA">
              <w:rPr>
                <w:rFonts w:asciiTheme="minorHAnsi" w:hAnsiTheme="minorHAnsi"/>
                <w:szCs w:val="22"/>
              </w:rPr>
              <w:t xml:space="preserve">Metoda pomiaru: </w:t>
            </w:r>
            <w:r w:rsidRPr="00CD28DA">
              <w:rPr>
                <w:rFonts w:ascii="Calibri" w:eastAsia="Calibri" w:hAnsi="Calibri" w:cs="Arial Narrow"/>
                <w:szCs w:val="22"/>
                <w:lang w:eastAsia="en-US"/>
              </w:rPr>
              <w:t xml:space="preserve">Należy zliczyć udostępnione on-line usługi o stopniu dojrzałości </w:t>
            </w:r>
            <w:r w:rsidRPr="00CD28DA">
              <w:rPr>
                <w:rFonts w:ascii="Calibri" w:eastAsia="Calibri" w:hAnsi="Calibri" w:cs="Arial Narrow"/>
                <w:b/>
                <w:szCs w:val="22"/>
                <w:lang w:eastAsia="en-US"/>
              </w:rPr>
              <w:t>co najmniej 4</w:t>
            </w:r>
            <w:r w:rsidRPr="00CD28DA">
              <w:rPr>
                <w:rFonts w:ascii="Calibri" w:eastAsia="Calibri" w:hAnsi="Calibri" w:cs="Arial Narrow"/>
                <w:szCs w:val="22"/>
                <w:lang w:eastAsia="en-US"/>
              </w:rPr>
              <w:t xml:space="preserve">, których wykonanie bez wykorzystania technologii informacyjnej </w:t>
            </w:r>
            <w:bookmarkStart w:id="3" w:name="_GoBack"/>
            <w:bookmarkEnd w:id="3"/>
            <w:r w:rsidRPr="00CD28DA">
              <w:rPr>
                <w:rFonts w:ascii="Calibri" w:eastAsia="Calibri" w:hAnsi="Calibri" w:cs="Arial Narrow"/>
                <w:szCs w:val="22"/>
                <w:lang w:eastAsia="en-US"/>
              </w:rPr>
              <w:t>jest niemożliwe w formie ogólnodostępnych serwisów informacyjnych.</w:t>
            </w:r>
          </w:p>
          <w:p w:rsidR="00CD28DA" w:rsidRPr="00CD28DA" w:rsidRDefault="00CD28DA" w:rsidP="00CD28DA">
            <w:pPr>
              <w:spacing w:before="0" w:line="276" w:lineRule="auto"/>
              <w:jc w:val="both"/>
              <w:rPr>
                <w:rFonts w:ascii="Calibri" w:eastAsia="Calibri" w:hAnsi="Calibri" w:cs="Arial Narrow"/>
                <w:szCs w:val="22"/>
                <w:lang w:eastAsia="en-US"/>
              </w:rPr>
            </w:pPr>
            <w:r w:rsidRPr="00CD28DA">
              <w:rPr>
                <w:rFonts w:ascii="Calibri" w:eastAsia="Calibri" w:hAnsi="Calibri" w:cs="Arial Narrow"/>
                <w:szCs w:val="22"/>
                <w:lang w:eastAsia="en-US"/>
              </w:rPr>
              <w:t xml:space="preserve">Nie należy wliczać usług udostępnionych on-line </w:t>
            </w:r>
            <w:r w:rsidRPr="00CD28DA">
              <w:rPr>
                <w:rFonts w:ascii="Calibri" w:eastAsia="Calibri" w:hAnsi="Calibri" w:cs="Arial Narrow"/>
                <w:szCs w:val="22"/>
                <w:lang w:eastAsia="en-US"/>
              </w:rPr>
              <w:lastRenderedPageBreak/>
              <w:t>o stopniu dojrzałości 3.</w:t>
            </w:r>
          </w:p>
          <w:p w:rsidR="00CD28DA" w:rsidRPr="00CD28DA" w:rsidRDefault="00CD28DA" w:rsidP="00CD28DA">
            <w:pPr>
              <w:spacing w:before="0" w:line="276" w:lineRule="auto"/>
              <w:jc w:val="both"/>
              <w:rPr>
                <w:rFonts w:ascii="Calibri" w:eastAsia="Calibri" w:hAnsi="Calibri" w:cs="Arial Narrow"/>
                <w:szCs w:val="22"/>
                <w:lang w:eastAsia="en-US"/>
              </w:rPr>
            </w:pPr>
            <w:r w:rsidRPr="00CD28DA">
              <w:rPr>
                <w:rFonts w:ascii="Calibri" w:eastAsia="Calibri" w:hAnsi="Calibri" w:cs="Arial Narrow"/>
                <w:szCs w:val="22"/>
                <w:lang w:eastAsia="en-US"/>
              </w:rPr>
              <w:t>W przypadku, gdy projekt dotyczy kilku podmiotów nie należy liczyć tych samych usług tyle razy, ile podmiotów jest zaangażowanych w projekt.</w:t>
            </w:r>
          </w:p>
          <w:p w:rsidR="00CD28DA" w:rsidRPr="009E33FB" w:rsidRDefault="00CD28DA" w:rsidP="00CD28DA">
            <w:pPr>
              <w:autoSpaceDE w:val="0"/>
              <w:autoSpaceDN w:val="0"/>
              <w:adjustRightInd w:val="0"/>
              <w:spacing w:before="0" w:line="240" w:lineRule="auto"/>
              <w:jc w:val="both"/>
              <w:rPr>
                <w:rFonts w:asciiTheme="minorHAnsi" w:hAnsiTheme="minorHAnsi"/>
                <w:color w:val="FF0000"/>
                <w:szCs w:val="22"/>
              </w:rPr>
            </w:pPr>
          </w:p>
        </w:tc>
        <w:tc>
          <w:tcPr>
            <w:tcW w:w="973" w:type="pct"/>
          </w:tcPr>
          <w:p w:rsidR="00E2644E" w:rsidRPr="009E33FB" w:rsidRDefault="00B03E40" w:rsidP="007650AC">
            <w:pPr>
              <w:spacing w:line="240" w:lineRule="auto"/>
              <w:jc w:val="both"/>
              <w:rPr>
                <w:rFonts w:asciiTheme="minorHAnsi" w:hAnsiTheme="minorHAnsi"/>
                <w:color w:val="FF0000"/>
                <w:szCs w:val="22"/>
              </w:rPr>
            </w:pPr>
            <w:r w:rsidRPr="001722F7">
              <w:rPr>
                <w:rFonts w:asciiTheme="minorHAnsi" w:hAnsiTheme="minorHAnsi"/>
                <w:szCs w:val="22"/>
              </w:rPr>
              <w:lastRenderedPageBreak/>
              <w:t>SZOOP</w:t>
            </w:r>
          </w:p>
        </w:tc>
      </w:tr>
      <w:tr w:rsidR="001722F7" w:rsidRPr="001722F7" w:rsidTr="003D2C3D">
        <w:trPr>
          <w:trHeight w:val="20"/>
          <w:jc w:val="center"/>
        </w:trPr>
        <w:tc>
          <w:tcPr>
            <w:tcW w:w="1127" w:type="pct"/>
            <w:shd w:val="clear" w:color="auto" w:fill="auto"/>
          </w:tcPr>
          <w:p w:rsidR="00E2644E" w:rsidRPr="001722F7" w:rsidRDefault="00E2644E" w:rsidP="007650AC">
            <w:pPr>
              <w:spacing w:before="40" w:after="40" w:line="240" w:lineRule="auto"/>
              <w:rPr>
                <w:rFonts w:ascii="Calibri" w:hAnsi="Calibri"/>
                <w:szCs w:val="22"/>
              </w:rPr>
            </w:pPr>
            <w:r w:rsidRPr="001722F7">
              <w:rPr>
                <w:rFonts w:ascii="Calibri" w:hAnsi="Calibri" w:cs="Arial"/>
              </w:rPr>
              <w:lastRenderedPageBreak/>
              <w:t>Liczba udostępnionych usług wewnątrzadministracyjnych (A2A)</w:t>
            </w:r>
          </w:p>
        </w:tc>
        <w:tc>
          <w:tcPr>
            <w:tcW w:w="458" w:type="pct"/>
          </w:tcPr>
          <w:p w:rsidR="00E2644E" w:rsidRPr="001722F7" w:rsidRDefault="00E2644E" w:rsidP="007650AC">
            <w:pPr>
              <w:spacing w:line="240" w:lineRule="auto"/>
              <w:jc w:val="both"/>
              <w:rPr>
                <w:rFonts w:asciiTheme="minorHAnsi" w:hAnsiTheme="minorHAnsi"/>
                <w:szCs w:val="22"/>
              </w:rPr>
            </w:pPr>
            <w:r w:rsidRPr="001722F7">
              <w:rPr>
                <w:rFonts w:asciiTheme="minorHAnsi" w:eastAsiaTheme="minorHAnsi" w:hAnsiTheme="minorHAnsi"/>
                <w:szCs w:val="22"/>
                <w:lang w:eastAsia="en-US"/>
              </w:rPr>
              <w:t>szt.</w:t>
            </w:r>
          </w:p>
        </w:tc>
        <w:tc>
          <w:tcPr>
            <w:tcW w:w="2442" w:type="pct"/>
            <w:shd w:val="clear" w:color="auto" w:fill="auto"/>
          </w:tcPr>
          <w:p w:rsidR="00E2644E" w:rsidRPr="001722F7" w:rsidRDefault="0075376D" w:rsidP="009E33FB">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 xml:space="preserve">Liczba usług elektronicznie udostępnionych przez organ administracji publicznej innemu organowi tej administracji, umożliwiających realizację części jego zadań drogą elektroniczną.  </w:t>
            </w:r>
          </w:p>
        </w:tc>
        <w:tc>
          <w:tcPr>
            <w:tcW w:w="973" w:type="pct"/>
          </w:tcPr>
          <w:p w:rsidR="00E2644E" w:rsidRPr="001722F7" w:rsidRDefault="00B03E40" w:rsidP="007650AC">
            <w:pPr>
              <w:spacing w:line="240" w:lineRule="auto"/>
              <w:jc w:val="both"/>
              <w:rPr>
                <w:rFonts w:asciiTheme="minorHAnsi" w:hAnsiTheme="minorHAnsi"/>
                <w:szCs w:val="22"/>
              </w:rPr>
            </w:pPr>
            <w:r w:rsidRPr="001722F7">
              <w:rPr>
                <w:rFonts w:asciiTheme="minorHAnsi" w:hAnsiTheme="minorHAnsi"/>
                <w:szCs w:val="22"/>
              </w:rPr>
              <w:t>SZOOP</w:t>
            </w:r>
          </w:p>
        </w:tc>
      </w:tr>
      <w:tr w:rsidR="001722F7" w:rsidRPr="001722F7" w:rsidTr="003D2C3D">
        <w:trPr>
          <w:trHeight w:val="20"/>
          <w:jc w:val="center"/>
        </w:trPr>
        <w:tc>
          <w:tcPr>
            <w:tcW w:w="1127" w:type="pct"/>
            <w:shd w:val="clear" w:color="auto" w:fill="auto"/>
          </w:tcPr>
          <w:p w:rsidR="00E2644E" w:rsidRPr="001722F7" w:rsidRDefault="00E2644E" w:rsidP="007650AC">
            <w:pPr>
              <w:spacing w:before="40" w:after="40" w:line="240" w:lineRule="auto"/>
              <w:rPr>
                <w:rFonts w:ascii="Calibri" w:hAnsi="Calibri"/>
                <w:szCs w:val="22"/>
              </w:rPr>
            </w:pPr>
            <w:r w:rsidRPr="001722F7">
              <w:rPr>
                <w:rFonts w:ascii="Calibri" w:hAnsi="Calibri" w:cs="Arial"/>
              </w:rPr>
              <w:t>Liczba podmiotów udostępniających usługi wewnątrzadministracyjne (A2A)</w:t>
            </w:r>
          </w:p>
        </w:tc>
        <w:tc>
          <w:tcPr>
            <w:tcW w:w="458" w:type="pct"/>
          </w:tcPr>
          <w:p w:rsidR="00E2644E" w:rsidRPr="001722F7" w:rsidRDefault="00E2644E" w:rsidP="007650AC">
            <w:pPr>
              <w:spacing w:line="240" w:lineRule="auto"/>
              <w:jc w:val="both"/>
              <w:rPr>
                <w:rFonts w:asciiTheme="minorHAnsi" w:hAnsiTheme="minorHAnsi"/>
                <w:szCs w:val="22"/>
              </w:rPr>
            </w:pPr>
            <w:r w:rsidRPr="001722F7">
              <w:rPr>
                <w:rFonts w:asciiTheme="minorHAnsi" w:eastAsiaTheme="minorHAnsi" w:hAnsiTheme="minorHAnsi"/>
                <w:szCs w:val="22"/>
                <w:lang w:eastAsia="en-US"/>
              </w:rPr>
              <w:t>szt.</w:t>
            </w:r>
          </w:p>
        </w:tc>
        <w:tc>
          <w:tcPr>
            <w:tcW w:w="2442" w:type="pct"/>
            <w:shd w:val="clear" w:color="auto" w:fill="auto"/>
          </w:tcPr>
          <w:p w:rsidR="00E2644E" w:rsidRPr="001722F7" w:rsidRDefault="00F41AB5" w:rsidP="009E33FB">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 xml:space="preserve">Liczba organów administracji publicznej  udostępniających usługi innemu organowi tej administracji, umożliwiających realizację części jego zadań drogą elektroniczną.  </w:t>
            </w:r>
          </w:p>
        </w:tc>
        <w:tc>
          <w:tcPr>
            <w:tcW w:w="973" w:type="pct"/>
          </w:tcPr>
          <w:p w:rsidR="00E2644E" w:rsidRPr="001722F7" w:rsidRDefault="003828CF" w:rsidP="007650AC">
            <w:pPr>
              <w:spacing w:line="240" w:lineRule="auto"/>
              <w:jc w:val="both"/>
              <w:rPr>
                <w:rFonts w:asciiTheme="minorHAnsi" w:hAnsiTheme="minorHAnsi"/>
                <w:szCs w:val="22"/>
              </w:rPr>
            </w:pPr>
            <w:r w:rsidRPr="001722F7">
              <w:rPr>
                <w:rFonts w:asciiTheme="minorHAnsi" w:hAnsiTheme="minorHAnsi"/>
                <w:szCs w:val="22"/>
              </w:rPr>
              <w:t>SZOOP</w:t>
            </w:r>
          </w:p>
        </w:tc>
      </w:tr>
      <w:tr w:rsidR="001722F7" w:rsidRPr="001722F7" w:rsidTr="003D2C3D">
        <w:trPr>
          <w:trHeight w:val="20"/>
          <w:jc w:val="center"/>
        </w:trPr>
        <w:tc>
          <w:tcPr>
            <w:tcW w:w="1127" w:type="pct"/>
            <w:shd w:val="clear" w:color="auto" w:fill="auto"/>
          </w:tcPr>
          <w:p w:rsidR="00E2644E" w:rsidRPr="001722F7" w:rsidRDefault="00E2644E" w:rsidP="007650AC">
            <w:pPr>
              <w:spacing w:before="40" w:after="40" w:line="240" w:lineRule="auto"/>
              <w:rPr>
                <w:rFonts w:ascii="Calibri" w:hAnsi="Calibri" w:cs="Arial"/>
              </w:rPr>
            </w:pPr>
            <w:r w:rsidRPr="001722F7">
              <w:rPr>
                <w:rFonts w:ascii="Calibri" w:hAnsi="Calibri" w:cs="Arial"/>
              </w:rPr>
              <w:t xml:space="preserve">Liczba </w:t>
            </w:r>
            <w:proofErr w:type="spellStart"/>
            <w:r w:rsidRPr="001722F7">
              <w:rPr>
                <w:rFonts w:ascii="Calibri" w:hAnsi="Calibri" w:cs="Arial"/>
              </w:rPr>
              <w:t>zdigitalizowanych</w:t>
            </w:r>
            <w:proofErr w:type="spellEnd"/>
            <w:r w:rsidRPr="001722F7">
              <w:rPr>
                <w:rFonts w:ascii="Calibri" w:hAnsi="Calibri" w:cs="Arial"/>
              </w:rPr>
              <w:t xml:space="preserve"> dokumentów zawierających informacje sektora publicznego</w:t>
            </w:r>
          </w:p>
          <w:p w:rsidR="00CD28DA" w:rsidRPr="001722F7" w:rsidRDefault="00CD28DA" w:rsidP="007650AC">
            <w:pPr>
              <w:spacing w:before="40" w:after="40" w:line="240" w:lineRule="auto"/>
              <w:rPr>
                <w:rFonts w:ascii="Calibri" w:hAnsi="Calibri" w:cs="Arial"/>
              </w:rPr>
            </w:pPr>
          </w:p>
          <w:p w:rsidR="00CD28DA" w:rsidRPr="001722F7" w:rsidRDefault="00CD28DA" w:rsidP="007650AC">
            <w:pPr>
              <w:spacing w:before="40" w:after="40" w:line="240" w:lineRule="auto"/>
              <w:rPr>
                <w:rFonts w:ascii="Calibri" w:hAnsi="Calibri"/>
                <w:szCs w:val="22"/>
              </w:rPr>
            </w:pPr>
          </w:p>
        </w:tc>
        <w:tc>
          <w:tcPr>
            <w:tcW w:w="458" w:type="pct"/>
          </w:tcPr>
          <w:p w:rsidR="00E2644E" w:rsidRPr="001722F7" w:rsidRDefault="00E2644E" w:rsidP="007650AC">
            <w:pPr>
              <w:spacing w:line="240" w:lineRule="auto"/>
              <w:jc w:val="both"/>
              <w:rPr>
                <w:rFonts w:asciiTheme="minorHAnsi" w:hAnsiTheme="minorHAnsi"/>
                <w:szCs w:val="22"/>
              </w:rPr>
            </w:pPr>
            <w:r w:rsidRPr="001722F7">
              <w:rPr>
                <w:rFonts w:asciiTheme="minorHAnsi" w:eastAsiaTheme="minorHAnsi" w:hAnsiTheme="minorHAnsi"/>
                <w:szCs w:val="22"/>
                <w:lang w:eastAsia="en-US"/>
              </w:rPr>
              <w:t>szt.</w:t>
            </w:r>
          </w:p>
        </w:tc>
        <w:tc>
          <w:tcPr>
            <w:tcW w:w="2442" w:type="pct"/>
            <w:shd w:val="clear" w:color="auto" w:fill="auto"/>
          </w:tcPr>
          <w:p w:rsidR="006D1625" w:rsidRPr="001722F7" w:rsidRDefault="006D1625" w:rsidP="00CD28DA">
            <w:pPr>
              <w:spacing w:before="0" w:line="276" w:lineRule="auto"/>
              <w:jc w:val="both"/>
              <w:rPr>
                <w:rFonts w:ascii="Calibri" w:eastAsia="Calibri" w:hAnsi="Calibri" w:cs="Arial Narrow"/>
                <w:szCs w:val="22"/>
                <w:lang w:eastAsia="en-US"/>
              </w:rPr>
            </w:pPr>
            <w:r w:rsidRPr="001722F7">
              <w:rPr>
                <w:rFonts w:ascii="Calibri" w:eastAsia="Calibri" w:hAnsi="Calibri" w:cs="Arial Narrow"/>
                <w:szCs w:val="22"/>
                <w:lang w:eastAsia="en-US"/>
              </w:rPr>
              <w:t xml:space="preserve">Liczba dokumentów stanowiących informacje sektora publicznego, które w wyniku wsparcia, zostaną przetworzone z postaci analogowej do postaci cyfrowej. </w:t>
            </w:r>
          </w:p>
          <w:p w:rsidR="00CD28DA" w:rsidRPr="001722F7" w:rsidRDefault="00CD28DA" w:rsidP="00CD28DA">
            <w:pPr>
              <w:spacing w:before="0" w:line="276" w:lineRule="auto"/>
              <w:jc w:val="both"/>
              <w:rPr>
                <w:rFonts w:ascii="Calibri" w:eastAsia="Calibri" w:hAnsi="Calibri" w:cs="Arial Narrow"/>
                <w:szCs w:val="22"/>
                <w:lang w:eastAsia="en-US"/>
              </w:rPr>
            </w:pPr>
            <w:r w:rsidRPr="001722F7">
              <w:rPr>
                <w:rFonts w:ascii="Calibri" w:eastAsia="Calibri" w:hAnsi="Calibri" w:cs="Arial Narrow"/>
                <w:szCs w:val="22"/>
                <w:lang w:eastAsia="en-US"/>
              </w:rPr>
              <w:t>"Dokument" oznacza (na podstawie dyrektywy 2003/98/WE) jakąkolwiek treść niezależnie od zastosowanego nośnika (zapisaną na papierze lub zapisaną w formie elektronicznej lub zarejestrowaną w formie dźwi</w:t>
            </w:r>
            <w:r w:rsidR="003828CF" w:rsidRPr="001722F7">
              <w:rPr>
                <w:rFonts w:ascii="Calibri" w:eastAsia="Calibri" w:hAnsi="Calibri" w:cs="Arial Narrow"/>
                <w:szCs w:val="22"/>
                <w:lang w:eastAsia="en-US"/>
              </w:rPr>
              <w:t>ę</w:t>
            </w:r>
            <w:r w:rsidRPr="001722F7">
              <w:rPr>
                <w:rFonts w:ascii="Calibri" w:eastAsia="Calibri" w:hAnsi="Calibri" w:cs="Arial Narrow"/>
                <w:szCs w:val="22"/>
                <w:lang w:eastAsia="en-US"/>
              </w:rPr>
              <w:t xml:space="preserve">kowej, wizualnej albo audiowizualnej). </w:t>
            </w:r>
          </w:p>
          <w:p w:rsidR="00CD28DA" w:rsidRPr="001722F7" w:rsidRDefault="00CD28DA" w:rsidP="00CD28DA">
            <w:pPr>
              <w:spacing w:before="0" w:line="276" w:lineRule="auto"/>
              <w:jc w:val="both"/>
              <w:rPr>
                <w:rFonts w:ascii="Calibri" w:eastAsia="Calibri" w:hAnsi="Calibri" w:cs="Arial Narrow"/>
                <w:szCs w:val="22"/>
                <w:lang w:eastAsia="en-US"/>
              </w:rPr>
            </w:pPr>
            <w:r w:rsidRPr="001722F7">
              <w:rPr>
                <w:rFonts w:ascii="Calibri" w:eastAsia="Calibri" w:hAnsi="Calibri" w:cs="Arial Narrow"/>
                <w:szCs w:val="22"/>
                <w:lang w:eastAsia="en-US"/>
              </w:rPr>
              <w:t xml:space="preserve">Na użytek POPC przez informacje sektora publicznego należy rozumieć: </w:t>
            </w:r>
          </w:p>
          <w:p w:rsidR="00CD28DA" w:rsidRPr="001722F7" w:rsidRDefault="00CD28DA" w:rsidP="00CD28DA">
            <w:pPr>
              <w:spacing w:before="0" w:line="276" w:lineRule="auto"/>
              <w:jc w:val="both"/>
              <w:rPr>
                <w:rFonts w:ascii="Calibri" w:eastAsia="Calibri" w:hAnsi="Calibri" w:cs="Arial Narrow"/>
                <w:szCs w:val="22"/>
                <w:lang w:eastAsia="en-US"/>
              </w:rPr>
            </w:pPr>
            <w:r w:rsidRPr="001722F7">
              <w:rPr>
                <w:rFonts w:ascii="Calibri" w:eastAsia="Calibri" w:hAnsi="Calibri" w:cs="Arial Narrow"/>
                <w:szCs w:val="22"/>
                <w:lang w:eastAsia="en-US"/>
              </w:rPr>
              <w:t xml:space="preserve">-  informację publiczną w rozumieniu ustawy z dnia 6 września 2001 r. o dostępie do informacji publicznej, </w:t>
            </w:r>
          </w:p>
          <w:p w:rsidR="00CD28DA" w:rsidRPr="001722F7" w:rsidRDefault="00CD28DA" w:rsidP="00CD28DA">
            <w:pPr>
              <w:spacing w:before="0" w:line="276" w:lineRule="auto"/>
              <w:jc w:val="both"/>
              <w:rPr>
                <w:rFonts w:ascii="Calibri" w:eastAsia="Calibri" w:hAnsi="Calibri" w:cs="Arial Narrow"/>
                <w:szCs w:val="22"/>
                <w:lang w:eastAsia="en-US"/>
              </w:rPr>
            </w:pPr>
            <w:r w:rsidRPr="001722F7">
              <w:rPr>
                <w:rFonts w:ascii="Calibri" w:eastAsia="Calibri" w:hAnsi="Calibri" w:cs="Arial Narrow"/>
                <w:szCs w:val="22"/>
                <w:lang w:eastAsia="en-US"/>
              </w:rPr>
              <w:t>- informację sektora publicznego w rozumieniu dyrektywy 2003/98/WE dnia 17 listopada  2003  r. w sprawie ponownego wykorzystywania informacji sektora publicznego (w brzmieniu zmienionym przez dyrektywę 2013/37/UE zmieniającą dyrektywę 2003/98/WE dnia 17 listopada  2003  r.  w sprawie ponownego wykorzystywania informacji sektora publicznego),</w:t>
            </w:r>
          </w:p>
          <w:p w:rsidR="00CD28DA" w:rsidRPr="001722F7" w:rsidRDefault="00CD28DA" w:rsidP="00CD28DA">
            <w:pPr>
              <w:spacing w:before="0" w:line="276" w:lineRule="auto"/>
              <w:jc w:val="both"/>
              <w:rPr>
                <w:rFonts w:ascii="Calibri" w:eastAsia="Calibri" w:hAnsi="Calibri" w:cs="Arial Narrow"/>
                <w:szCs w:val="22"/>
                <w:lang w:eastAsia="en-US"/>
              </w:rPr>
            </w:pPr>
            <w:r w:rsidRPr="001722F7">
              <w:rPr>
                <w:rFonts w:ascii="Calibri" w:eastAsia="Calibri" w:hAnsi="Calibri" w:cs="Arial Narrow"/>
                <w:szCs w:val="22"/>
                <w:lang w:eastAsia="en-US"/>
              </w:rPr>
              <w:t>- zasoby audiowizualne, pod warunkiem ich udostępniania do ponownego wykorzystywania,</w:t>
            </w:r>
          </w:p>
          <w:p w:rsidR="00CD28DA" w:rsidRPr="001722F7" w:rsidRDefault="00CD28DA" w:rsidP="00CD28DA">
            <w:pPr>
              <w:spacing w:before="0" w:line="276" w:lineRule="auto"/>
              <w:jc w:val="both"/>
              <w:rPr>
                <w:rFonts w:ascii="Calibri" w:eastAsia="Calibri" w:hAnsi="Calibri" w:cs="Arial Narrow"/>
                <w:szCs w:val="22"/>
                <w:lang w:eastAsia="en-US"/>
              </w:rPr>
            </w:pPr>
            <w:r w:rsidRPr="001722F7">
              <w:rPr>
                <w:rFonts w:ascii="Calibri" w:eastAsia="Calibri" w:hAnsi="Calibri" w:cs="Arial Narrow"/>
                <w:szCs w:val="22"/>
                <w:lang w:eastAsia="en-US"/>
              </w:rPr>
              <w:t>- zasoby archiwalne, pod warunkiem ich udostępnienia do ponownego wykorzystania,</w:t>
            </w:r>
          </w:p>
          <w:p w:rsidR="00CD28DA" w:rsidRPr="001722F7" w:rsidRDefault="00CD28DA" w:rsidP="00CD28DA">
            <w:pPr>
              <w:spacing w:before="0" w:line="276" w:lineRule="auto"/>
              <w:jc w:val="both"/>
              <w:rPr>
                <w:rFonts w:ascii="Calibri" w:eastAsia="Calibri" w:hAnsi="Calibri" w:cs="Arial Narrow"/>
                <w:szCs w:val="22"/>
                <w:lang w:eastAsia="en-US"/>
              </w:rPr>
            </w:pPr>
            <w:r w:rsidRPr="001722F7">
              <w:rPr>
                <w:rFonts w:ascii="Calibri" w:eastAsia="Calibri" w:hAnsi="Calibri" w:cs="Arial Narrow"/>
                <w:szCs w:val="22"/>
                <w:lang w:eastAsia="en-US"/>
              </w:rPr>
              <w:lastRenderedPageBreak/>
              <w:t>- zasoby kultury, pod warunkiem ich udostepnienia do ponownego wykorzystania.</w:t>
            </w:r>
          </w:p>
          <w:p w:rsidR="00E2644E" w:rsidRPr="001722F7" w:rsidRDefault="00CD28DA" w:rsidP="00CD28DA">
            <w:pPr>
              <w:autoSpaceDE w:val="0"/>
              <w:autoSpaceDN w:val="0"/>
              <w:adjustRightInd w:val="0"/>
              <w:spacing w:before="0" w:line="240" w:lineRule="auto"/>
              <w:jc w:val="both"/>
              <w:rPr>
                <w:rFonts w:ascii="Calibri" w:eastAsia="Calibri" w:hAnsi="Calibri" w:cs="Arial Narrow"/>
                <w:szCs w:val="22"/>
                <w:lang w:eastAsia="en-US"/>
              </w:rPr>
            </w:pPr>
            <w:r w:rsidRPr="001722F7">
              <w:rPr>
                <w:rFonts w:ascii="Calibri" w:eastAsia="Calibri" w:hAnsi="Calibri" w:cs="Arial Narrow"/>
                <w:szCs w:val="22"/>
                <w:lang w:eastAsia="en-US"/>
              </w:rPr>
              <w:t>- zasoby nauki, pod warunkiem ich udostępniania do ponownego wykorzystywania.</w:t>
            </w:r>
          </w:p>
          <w:p w:rsidR="00CD28DA" w:rsidRPr="001722F7" w:rsidRDefault="00CD28DA" w:rsidP="00CD28DA">
            <w:pPr>
              <w:autoSpaceDE w:val="0"/>
              <w:autoSpaceDN w:val="0"/>
              <w:adjustRightInd w:val="0"/>
              <w:spacing w:before="0" w:line="240" w:lineRule="auto"/>
              <w:jc w:val="both"/>
              <w:rPr>
                <w:rFonts w:ascii="Calibri" w:eastAsia="Calibri" w:hAnsi="Calibri" w:cs="Arial Narrow"/>
                <w:szCs w:val="22"/>
                <w:lang w:eastAsia="en-US"/>
              </w:rPr>
            </w:pPr>
          </w:p>
          <w:p w:rsidR="00CD28DA" w:rsidRPr="001722F7" w:rsidRDefault="00CD28DA" w:rsidP="00CD28DA">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Metoda pomiaru: Liczba utworów z zasobów publicznych przetworzonych z postaci analogowej na cyfrową.</w:t>
            </w:r>
          </w:p>
          <w:p w:rsidR="00CD28DA" w:rsidRPr="001722F7" w:rsidRDefault="00CD28DA" w:rsidP="00CD28DA">
            <w:pPr>
              <w:autoSpaceDE w:val="0"/>
              <w:autoSpaceDN w:val="0"/>
              <w:adjustRightInd w:val="0"/>
              <w:spacing w:before="0" w:line="240" w:lineRule="auto"/>
              <w:jc w:val="both"/>
              <w:rPr>
                <w:rFonts w:asciiTheme="minorHAnsi" w:hAnsiTheme="minorHAnsi"/>
                <w:szCs w:val="22"/>
              </w:rPr>
            </w:pPr>
          </w:p>
        </w:tc>
        <w:tc>
          <w:tcPr>
            <w:tcW w:w="973" w:type="pct"/>
          </w:tcPr>
          <w:p w:rsidR="00E2644E" w:rsidRPr="001722F7" w:rsidRDefault="00B03E40" w:rsidP="006D1625">
            <w:pPr>
              <w:spacing w:line="240" w:lineRule="auto"/>
              <w:jc w:val="both"/>
              <w:rPr>
                <w:rFonts w:asciiTheme="minorHAnsi" w:hAnsiTheme="minorHAnsi"/>
                <w:szCs w:val="22"/>
              </w:rPr>
            </w:pPr>
            <w:r w:rsidRPr="001722F7">
              <w:rPr>
                <w:rFonts w:asciiTheme="minorHAnsi" w:hAnsiTheme="minorHAnsi"/>
                <w:szCs w:val="22"/>
              </w:rPr>
              <w:lastRenderedPageBreak/>
              <w:t>SZOOP</w:t>
            </w:r>
          </w:p>
        </w:tc>
      </w:tr>
      <w:tr w:rsidR="001722F7" w:rsidRPr="001722F7" w:rsidTr="003D2C3D">
        <w:trPr>
          <w:trHeight w:val="20"/>
          <w:jc w:val="center"/>
        </w:trPr>
        <w:tc>
          <w:tcPr>
            <w:tcW w:w="1127" w:type="pct"/>
            <w:shd w:val="clear" w:color="auto" w:fill="auto"/>
          </w:tcPr>
          <w:p w:rsidR="00E2644E" w:rsidRPr="001722F7" w:rsidRDefault="00E2644E" w:rsidP="007650AC">
            <w:pPr>
              <w:spacing w:before="40" w:after="40" w:line="240" w:lineRule="auto"/>
              <w:rPr>
                <w:rFonts w:ascii="Calibri" w:hAnsi="Calibri"/>
                <w:szCs w:val="22"/>
              </w:rPr>
            </w:pPr>
            <w:r w:rsidRPr="001722F7">
              <w:rPr>
                <w:rFonts w:ascii="Calibri" w:hAnsi="Calibri" w:cs="Arial"/>
              </w:rPr>
              <w:lastRenderedPageBreak/>
              <w:t>Liczba udostępnionych on-line dokumentów zawierających informacje sektora publicznego</w:t>
            </w:r>
          </w:p>
        </w:tc>
        <w:tc>
          <w:tcPr>
            <w:tcW w:w="458" w:type="pct"/>
          </w:tcPr>
          <w:p w:rsidR="00E2644E" w:rsidRPr="001722F7" w:rsidRDefault="00E2644E" w:rsidP="007650AC">
            <w:pPr>
              <w:spacing w:line="240" w:lineRule="auto"/>
              <w:jc w:val="both"/>
              <w:rPr>
                <w:rFonts w:asciiTheme="minorHAnsi" w:hAnsiTheme="minorHAnsi"/>
                <w:szCs w:val="22"/>
              </w:rPr>
            </w:pPr>
            <w:r w:rsidRPr="001722F7">
              <w:rPr>
                <w:rFonts w:asciiTheme="minorHAnsi" w:eastAsiaTheme="minorHAnsi" w:hAnsiTheme="minorHAnsi"/>
                <w:szCs w:val="22"/>
                <w:lang w:eastAsia="en-US"/>
              </w:rPr>
              <w:t>szt.</w:t>
            </w:r>
          </w:p>
        </w:tc>
        <w:tc>
          <w:tcPr>
            <w:tcW w:w="2442" w:type="pct"/>
            <w:shd w:val="clear" w:color="auto" w:fill="auto"/>
          </w:tcPr>
          <w:p w:rsidR="00B62340" w:rsidRPr="001722F7" w:rsidRDefault="00B62340" w:rsidP="00B62340">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 xml:space="preserve">Liczba dokumentów stanowiących informacje sektora publicznego, które udostępniono on-line w wyniku wsparcia. "Dokument" oznacza (na podstawie dyrektywy 2003/98/WE) jakąkolwiek treść niezależnie od zastosowanego nośnika (zapisaną na papierze lub zapisaną w formie elektronicznej lub zarejestrowaną w formie dźwiękowej, wizualnej albo audiowizualnej). </w:t>
            </w:r>
          </w:p>
          <w:p w:rsidR="00B62340" w:rsidRPr="001722F7" w:rsidRDefault="00B62340" w:rsidP="00B62340">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 xml:space="preserve">Informacje sektora publicznego należy rozumieć: </w:t>
            </w:r>
          </w:p>
          <w:p w:rsidR="00B62340" w:rsidRPr="001722F7" w:rsidRDefault="00B62340" w:rsidP="00B62340">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 xml:space="preserve">-  informację publiczną w rozumieniu ustawy z dnia 6 września 2001 r. o dostępie do informacji publicznej, </w:t>
            </w:r>
          </w:p>
          <w:p w:rsidR="00B62340" w:rsidRPr="001722F7" w:rsidRDefault="00B62340" w:rsidP="00B62340">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 informację sektora publicznego w rozumieniu dyrektywy 2003/98/WE dnia 17 listopada  2003  r. w sprawie ponownego wykorzystywania informacji sektora publicznego (w brzmieniu zmienionym przez dyrektywę 2013/37/UE zmieniającą dyrektywę 2003/98/WE dnia 17 listopada  2003  r.  w sprawie ponownego wykorzystywania informacji sektora publicznego),</w:t>
            </w:r>
          </w:p>
          <w:p w:rsidR="00B62340" w:rsidRPr="001722F7" w:rsidRDefault="00B62340" w:rsidP="00B62340">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 zasoby audiowizualne, pod warunkiem ich udostępniania do ponownego wykorzystywania,</w:t>
            </w:r>
          </w:p>
          <w:p w:rsidR="00B62340" w:rsidRPr="001722F7" w:rsidRDefault="00B62340" w:rsidP="00B62340">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 zasoby archiwalne, pod warunkiem ich udostępnienia do ponownego wykorzystania,</w:t>
            </w:r>
          </w:p>
          <w:p w:rsidR="00B62340" w:rsidRPr="001722F7" w:rsidRDefault="00B62340" w:rsidP="00B62340">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 zasoby kultury, pod warunkiem ich udostepnienia do ponownego wykorzystania.</w:t>
            </w:r>
          </w:p>
          <w:p w:rsidR="00E2644E" w:rsidRPr="001722F7" w:rsidRDefault="00B62340" w:rsidP="00B62340">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 zasoby nauki, pod warunkiem ich udostępniania do ponownego wykorzystywania.</w:t>
            </w:r>
          </w:p>
        </w:tc>
        <w:tc>
          <w:tcPr>
            <w:tcW w:w="973" w:type="pct"/>
          </w:tcPr>
          <w:p w:rsidR="00E2644E" w:rsidRPr="001722F7" w:rsidRDefault="00B03E40" w:rsidP="007650AC">
            <w:pPr>
              <w:spacing w:line="240" w:lineRule="auto"/>
              <w:jc w:val="both"/>
              <w:rPr>
                <w:rFonts w:asciiTheme="minorHAnsi" w:hAnsiTheme="minorHAnsi"/>
                <w:szCs w:val="22"/>
              </w:rPr>
            </w:pPr>
            <w:r w:rsidRPr="001722F7">
              <w:rPr>
                <w:rFonts w:asciiTheme="minorHAnsi" w:hAnsiTheme="minorHAnsi"/>
                <w:szCs w:val="22"/>
              </w:rPr>
              <w:t>SZOOP</w:t>
            </w:r>
          </w:p>
        </w:tc>
      </w:tr>
      <w:tr w:rsidR="001722F7" w:rsidRPr="001722F7" w:rsidTr="003D2C3D">
        <w:trPr>
          <w:trHeight w:val="20"/>
          <w:jc w:val="center"/>
        </w:trPr>
        <w:tc>
          <w:tcPr>
            <w:tcW w:w="1127" w:type="pct"/>
            <w:shd w:val="clear" w:color="auto" w:fill="auto"/>
          </w:tcPr>
          <w:p w:rsidR="00E2644E" w:rsidRPr="001722F7" w:rsidRDefault="00E2644E" w:rsidP="007650AC">
            <w:pPr>
              <w:spacing w:before="40" w:after="40" w:line="240" w:lineRule="auto"/>
              <w:rPr>
                <w:rFonts w:ascii="Calibri" w:hAnsi="Calibri"/>
                <w:szCs w:val="22"/>
              </w:rPr>
            </w:pPr>
            <w:r w:rsidRPr="001722F7">
              <w:rPr>
                <w:rFonts w:ascii="Calibri" w:hAnsi="Calibri" w:cs="Arial"/>
              </w:rPr>
              <w:t>Liczba uruchomionych systemów teleinformatycznych w podmiotach wykonujących zadania publiczne</w:t>
            </w:r>
          </w:p>
        </w:tc>
        <w:tc>
          <w:tcPr>
            <w:tcW w:w="458" w:type="pct"/>
          </w:tcPr>
          <w:p w:rsidR="00E2644E" w:rsidRPr="001722F7" w:rsidRDefault="00E2644E" w:rsidP="007650AC">
            <w:pPr>
              <w:spacing w:line="240" w:lineRule="auto"/>
              <w:jc w:val="both"/>
              <w:rPr>
                <w:rFonts w:asciiTheme="minorHAnsi" w:hAnsiTheme="minorHAnsi"/>
                <w:szCs w:val="22"/>
              </w:rPr>
            </w:pPr>
            <w:r w:rsidRPr="001722F7">
              <w:rPr>
                <w:rFonts w:asciiTheme="minorHAnsi" w:eastAsiaTheme="minorHAnsi" w:hAnsiTheme="minorHAnsi"/>
                <w:szCs w:val="22"/>
                <w:lang w:eastAsia="en-US"/>
              </w:rPr>
              <w:t>szt.</w:t>
            </w:r>
          </w:p>
        </w:tc>
        <w:tc>
          <w:tcPr>
            <w:tcW w:w="2442" w:type="pct"/>
            <w:shd w:val="clear" w:color="auto" w:fill="auto"/>
          </w:tcPr>
          <w:p w:rsidR="00E2644E" w:rsidRPr="001722F7" w:rsidRDefault="00B62340" w:rsidP="009E33FB">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Przez system teleinformatyczny należy rozumieć zespół współpracujących ze sobą urządzeń informatycznych i oprogramowania zapewniający przetwarzanie, przechowywanie, a także wysyłanie i odbieranie danych przez sieci telekomunikacyjne.</w:t>
            </w:r>
          </w:p>
        </w:tc>
        <w:tc>
          <w:tcPr>
            <w:tcW w:w="973" w:type="pct"/>
          </w:tcPr>
          <w:p w:rsidR="00E2644E" w:rsidRPr="001722F7" w:rsidRDefault="00B03E40" w:rsidP="007650AC">
            <w:pPr>
              <w:spacing w:line="240" w:lineRule="auto"/>
              <w:jc w:val="both"/>
              <w:rPr>
                <w:rFonts w:asciiTheme="minorHAnsi" w:hAnsiTheme="minorHAnsi"/>
                <w:szCs w:val="22"/>
              </w:rPr>
            </w:pPr>
            <w:r w:rsidRPr="001722F7">
              <w:rPr>
                <w:rFonts w:asciiTheme="minorHAnsi" w:hAnsiTheme="minorHAnsi"/>
                <w:szCs w:val="22"/>
              </w:rPr>
              <w:t>SZOOP</w:t>
            </w:r>
          </w:p>
        </w:tc>
      </w:tr>
      <w:tr w:rsidR="001722F7" w:rsidRPr="001722F7" w:rsidTr="003D2C3D">
        <w:trPr>
          <w:trHeight w:val="20"/>
          <w:jc w:val="center"/>
        </w:trPr>
        <w:tc>
          <w:tcPr>
            <w:tcW w:w="1127" w:type="pct"/>
            <w:shd w:val="clear" w:color="auto" w:fill="auto"/>
          </w:tcPr>
          <w:p w:rsidR="00E2644E" w:rsidRPr="001722F7" w:rsidRDefault="00E2644E" w:rsidP="007650AC">
            <w:pPr>
              <w:spacing w:before="40" w:after="40" w:line="240" w:lineRule="auto"/>
              <w:rPr>
                <w:rFonts w:ascii="Calibri" w:hAnsi="Calibri"/>
                <w:szCs w:val="22"/>
              </w:rPr>
            </w:pPr>
            <w:r w:rsidRPr="001722F7">
              <w:rPr>
                <w:rFonts w:ascii="Calibri" w:hAnsi="Calibri" w:cs="Arial"/>
              </w:rPr>
              <w:t>Liczba utworzonych API</w:t>
            </w:r>
          </w:p>
        </w:tc>
        <w:tc>
          <w:tcPr>
            <w:tcW w:w="458" w:type="pct"/>
          </w:tcPr>
          <w:p w:rsidR="00E2644E" w:rsidRPr="001722F7" w:rsidRDefault="00E2644E" w:rsidP="007650AC">
            <w:pPr>
              <w:spacing w:line="240" w:lineRule="auto"/>
              <w:jc w:val="both"/>
              <w:rPr>
                <w:rFonts w:asciiTheme="minorHAnsi" w:hAnsiTheme="minorHAnsi"/>
                <w:szCs w:val="22"/>
              </w:rPr>
            </w:pPr>
            <w:r w:rsidRPr="001722F7">
              <w:rPr>
                <w:rFonts w:asciiTheme="minorHAnsi" w:eastAsiaTheme="minorHAnsi" w:hAnsiTheme="minorHAnsi"/>
                <w:szCs w:val="22"/>
                <w:lang w:eastAsia="en-US"/>
              </w:rPr>
              <w:t>szt.</w:t>
            </w:r>
          </w:p>
        </w:tc>
        <w:tc>
          <w:tcPr>
            <w:tcW w:w="2442" w:type="pct"/>
            <w:shd w:val="clear" w:color="auto" w:fill="auto"/>
          </w:tcPr>
          <w:p w:rsidR="00E2644E" w:rsidRPr="001722F7" w:rsidRDefault="000F36CA" w:rsidP="009E33FB">
            <w:pPr>
              <w:autoSpaceDE w:val="0"/>
              <w:autoSpaceDN w:val="0"/>
              <w:adjustRightInd w:val="0"/>
              <w:spacing w:before="0" w:line="240" w:lineRule="auto"/>
              <w:jc w:val="both"/>
              <w:rPr>
                <w:rFonts w:ascii="Calibri" w:hAnsi="Calibri"/>
                <w:szCs w:val="22"/>
              </w:rPr>
            </w:pPr>
            <w:r w:rsidRPr="001722F7">
              <w:rPr>
                <w:rFonts w:ascii="Calibri" w:eastAsia="Calibri" w:hAnsi="Calibri" w:cs="Arial Narrow"/>
                <w:szCs w:val="22"/>
                <w:lang w:eastAsia="en-US"/>
              </w:rPr>
              <w:t xml:space="preserve">API (ang. Application Programming Interface) należy rozumieć jako interfejs programowania </w:t>
            </w:r>
            <w:r w:rsidRPr="001722F7">
              <w:rPr>
                <w:rFonts w:ascii="Calibri" w:eastAsia="Calibri" w:hAnsi="Calibri" w:cs="Arial Narrow"/>
                <w:szCs w:val="22"/>
                <w:lang w:eastAsia="en-US"/>
              </w:rPr>
              <w:lastRenderedPageBreak/>
              <w:t>aplikacji, zaprojektowany i wdrożony przez podmiot udostępniający informacje sektora publicznego. Interfejs łączy w sobie metody programowania, specyfikacje techniczne i dokumentację, aby umożliwić zarejestrowanym użytkownikom uzyskanie dostępu do informacji sektora publicznego, w celu ich ponownego wykorzystania. Interfejs API definiuje się podając  zestaw procedur dostępnych programom użytkowników, a także ich parametry wywołania oraz różnego rodzaju typy danych. W ten sposób określa on funkcje dostępne  użytkownikowi  oraz pozwala np. na tworzenie własnych aplikacji budowanych i automatycznie aktualizowanych, w oparciu o udostępnione informacje sektora publicznego.</w:t>
            </w:r>
          </w:p>
        </w:tc>
        <w:tc>
          <w:tcPr>
            <w:tcW w:w="973" w:type="pct"/>
          </w:tcPr>
          <w:p w:rsidR="00E2644E" w:rsidRPr="001722F7" w:rsidRDefault="00B03E40" w:rsidP="007650AC">
            <w:pPr>
              <w:spacing w:line="240" w:lineRule="auto"/>
              <w:jc w:val="both"/>
              <w:rPr>
                <w:rFonts w:asciiTheme="minorHAnsi" w:hAnsiTheme="minorHAnsi"/>
                <w:szCs w:val="22"/>
              </w:rPr>
            </w:pPr>
            <w:r w:rsidRPr="001722F7">
              <w:rPr>
                <w:rFonts w:asciiTheme="minorHAnsi" w:hAnsiTheme="minorHAnsi"/>
                <w:szCs w:val="22"/>
              </w:rPr>
              <w:lastRenderedPageBreak/>
              <w:t>SZOOP</w:t>
            </w:r>
          </w:p>
        </w:tc>
      </w:tr>
      <w:tr w:rsidR="001722F7" w:rsidRPr="001722F7" w:rsidTr="003D2C3D">
        <w:trPr>
          <w:trHeight w:val="20"/>
          <w:jc w:val="center"/>
        </w:trPr>
        <w:tc>
          <w:tcPr>
            <w:tcW w:w="1127" w:type="pct"/>
            <w:shd w:val="clear" w:color="auto" w:fill="auto"/>
          </w:tcPr>
          <w:p w:rsidR="00E2644E" w:rsidRPr="001722F7" w:rsidRDefault="00E2644E" w:rsidP="007650AC">
            <w:pPr>
              <w:spacing w:before="40" w:after="40" w:line="240" w:lineRule="auto"/>
              <w:rPr>
                <w:rFonts w:ascii="Calibri" w:hAnsi="Calibri"/>
                <w:szCs w:val="22"/>
              </w:rPr>
            </w:pPr>
            <w:r w:rsidRPr="001722F7">
              <w:rPr>
                <w:rFonts w:ascii="Calibri" w:hAnsi="Calibri" w:cs="Arial"/>
              </w:rPr>
              <w:lastRenderedPageBreak/>
              <w:t>Liczba baz danych udostępnionych on-line poprzez API</w:t>
            </w:r>
          </w:p>
        </w:tc>
        <w:tc>
          <w:tcPr>
            <w:tcW w:w="458" w:type="pct"/>
          </w:tcPr>
          <w:p w:rsidR="00E2644E" w:rsidRPr="001722F7" w:rsidRDefault="00E2644E" w:rsidP="007650AC">
            <w:pPr>
              <w:spacing w:line="240" w:lineRule="auto"/>
              <w:jc w:val="both"/>
              <w:rPr>
                <w:rFonts w:asciiTheme="minorHAnsi" w:hAnsiTheme="minorHAnsi"/>
                <w:szCs w:val="22"/>
              </w:rPr>
            </w:pPr>
            <w:r w:rsidRPr="001722F7">
              <w:rPr>
                <w:rFonts w:asciiTheme="minorHAnsi" w:eastAsiaTheme="minorHAnsi" w:hAnsiTheme="minorHAnsi"/>
                <w:szCs w:val="22"/>
                <w:lang w:eastAsia="en-US"/>
              </w:rPr>
              <w:t>szt.</w:t>
            </w:r>
          </w:p>
        </w:tc>
        <w:tc>
          <w:tcPr>
            <w:tcW w:w="2442" w:type="pct"/>
            <w:shd w:val="clear" w:color="auto" w:fill="auto"/>
          </w:tcPr>
          <w:p w:rsidR="00E2644E" w:rsidRPr="001722F7" w:rsidRDefault="005D6A14" w:rsidP="009E33FB">
            <w:pPr>
              <w:autoSpaceDE w:val="0"/>
              <w:autoSpaceDN w:val="0"/>
              <w:adjustRightInd w:val="0"/>
              <w:spacing w:before="0" w:line="240" w:lineRule="auto"/>
              <w:jc w:val="both"/>
              <w:rPr>
                <w:rFonts w:asciiTheme="minorHAnsi" w:hAnsiTheme="minorHAnsi"/>
                <w:szCs w:val="22"/>
              </w:rPr>
            </w:pPr>
            <w:r w:rsidRPr="001722F7">
              <w:rPr>
                <w:rFonts w:asciiTheme="minorHAnsi" w:hAnsiTheme="minorHAnsi"/>
                <w:szCs w:val="22"/>
              </w:rPr>
              <w:t>API (ang. Application Programming Interface) należy rozumieć jako interfejs programowania aplikacji, zaprojektowany i wdrożony przez podmiot udostępniający informacje sektora publicznego. Interfejs łączy w sobie metody programowania, specyfikacje techniczne i dokumentację, aby umożliwić zarejestrowanym użytkownikom uzyskanie dostępu do informacji sektora publicznego, w celu ich ponownego wykorzystania. Interfejs API definiuje się podając  zestaw procedur dostępnych programom użytkowników, a także ich parametry wywołania oraz różnego rodzaju typy danych. W ten sposób określa on funkcje dostępne  użytkownikowi  oraz pozwala np. na tworzenie własnych aplikacji budowanych i automatycznie aktualizowanych, w oparciu o udostępnione informacje sektora publicznego.</w:t>
            </w:r>
          </w:p>
        </w:tc>
        <w:tc>
          <w:tcPr>
            <w:tcW w:w="973" w:type="pct"/>
          </w:tcPr>
          <w:p w:rsidR="00E2644E" w:rsidRPr="001722F7" w:rsidRDefault="00B03E40" w:rsidP="007650AC">
            <w:pPr>
              <w:spacing w:line="240" w:lineRule="auto"/>
              <w:jc w:val="both"/>
              <w:rPr>
                <w:rFonts w:asciiTheme="minorHAnsi" w:hAnsiTheme="minorHAnsi"/>
                <w:szCs w:val="22"/>
              </w:rPr>
            </w:pPr>
            <w:r w:rsidRPr="001722F7">
              <w:rPr>
                <w:rFonts w:asciiTheme="minorHAnsi" w:hAnsiTheme="minorHAnsi"/>
                <w:szCs w:val="22"/>
              </w:rPr>
              <w:t>SZOOP</w:t>
            </w:r>
          </w:p>
        </w:tc>
      </w:tr>
      <w:tr w:rsidR="00F02218" w:rsidRPr="00911273" w:rsidTr="00F02218">
        <w:trPr>
          <w:trHeight w:val="20"/>
          <w:jc w:val="center"/>
        </w:trPr>
        <w:tc>
          <w:tcPr>
            <w:tcW w:w="1127" w:type="pct"/>
            <w:shd w:val="clear" w:color="auto" w:fill="auto"/>
            <w:vAlign w:val="center"/>
          </w:tcPr>
          <w:p w:rsidR="00F02218" w:rsidRPr="00911273" w:rsidRDefault="00F02218" w:rsidP="007650AC">
            <w:pPr>
              <w:spacing w:before="0" w:line="240" w:lineRule="auto"/>
              <w:rPr>
                <w:rFonts w:asciiTheme="minorHAnsi" w:eastAsiaTheme="minorHAnsi" w:hAnsiTheme="minorHAnsi"/>
                <w:szCs w:val="22"/>
                <w:lang w:eastAsia="en-US"/>
              </w:rPr>
            </w:pPr>
            <w:r w:rsidRPr="00911273">
              <w:rPr>
                <w:rFonts w:asciiTheme="minorHAnsi" w:eastAsiaTheme="minorHAnsi" w:hAnsiTheme="minorHAnsi"/>
                <w:szCs w:val="22"/>
                <w:lang w:eastAsia="en-US"/>
              </w:rPr>
              <w:t>Liczba obiektów dostosowanych do potrzeb osób z niepełnosprawnościami</w:t>
            </w:r>
          </w:p>
        </w:tc>
        <w:tc>
          <w:tcPr>
            <w:tcW w:w="458" w:type="pct"/>
            <w:vAlign w:val="center"/>
          </w:tcPr>
          <w:p w:rsidR="00F02218" w:rsidRPr="00911273" w:rsidRDefault="00F02218" w:rsidP="007650AC">
            <w:pPr>
              <w:spacing w:before="0" w:line="240" w:lineRule="auto"/>
              <w:rPr>
                <w:rFonts w:asciiTheme="minorHAnsi" w:eastAsiaTheme="minorHAnsi" w:hAnsiTheme="minorHAnsi"/>
                <w:szCs w:val="22"/>
                <w:lang w:eastAsia="en-US"/>
              </w:rPr>
            </w:pPr>
            <w:r>
              <w:rPr>
                <w:rFonts w:asciiTheme="minorHAnsi" w:eastAsiaTheme="minorHAnsi" w:hAnsiTheme="minorHAnsi"/>
                <w:szCs w:val="22"/>
                <w:lang w:eastAsia="en-US"/>
              </w:rPr>
              <w:t>s</w:t>
            </w:r>
            <w:r w:rsidRPr="00911273">
              <w:rPr>
                <w:rFonts w:asciiTheme="minorHAnsi" w:eastAsiaTheme="minorHAnsi" w:hAnsiTheme="minorHAnsi"/>
                <w:szCs w:val="22"/>
                <w:lang w:eastAsia="en-US"/>
              </w:rPr>
              <w:t>zt</w:t>
            </w:r>
            <w:r>
              <w:rPr>
                <w:rFonts w:asciiTheme="minorHAnsi" w:eastAsiaTheme="minorHAnsi" w:hAnsiTheme="minorHAnsi"/>
                <w:szCs w:val="22"/>
                <w:lang w:eastAsia="en-US"/>
              </w:rPr>
              <w:t>.</w:t>
            </w:r>
          </w:p>
        </w:tc>
        <w:tc>
          <w:tcPr>
            <w:tcW w:w="2442" w:type="pct"/>
            <w:shd w:val="clear" w:color="auto" w:fill="auto"/>
          </w:tcPr>
          <w:p w:rsidR="00F02218" w:rsidRPr="00911273" w:rsidRDefault="00F02218" w:rsidP="007650AC">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t>Wskaźnik odnosi się do liczby obiektów, które zaopatrzono w specjalne podjazdy, windy, urządzenia głośnomówiące, bądź inne udogodnienia (tj. usunięcie barier w dostępie, w szczególności barier architektonicznych) ułatwiające dostęp do tych obiektów i poruszanie się po nich osobom niepełnosprawnym ruchowo czy sensorycznie.</w:t>
            </w:r>
          </w:p>
          <w:p w:rsidR="00F02218" w:rsidRPr="00911273" w:rsidRDefault="00F02218" w:rsidP="007650AC">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t>Jako obiekty budowlane należy rozumieć konstrukcje połączone z gruntem w sposób trwały, wykonane z materiałów budowlanych i elementów składowych, będące wynikiem prac budowlanych (wg. def. PKOB).</w:t>
            </w:r>
          </w:p>
          <w:p w:rsidR="00F02218" w:rsidRPr="00911273" w:rsidRDefault="00F02218" w:rsidP="007650AC">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t>Należy podać liczbę obiektów, a nie sprzętów, urządzeń itp., w które obiekty zaopatrzono.</w:t>
            </w:r>
          </w:p>
          <w:p w:rsidR="00F02218" w:rsidRPr="00911273" w:rsidRDefault="00F02218" w:rsidP="007650AC">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t xml:space="preserve">Jeśli instytucja, zakład itp. składa się z kilku </w:t>
            </w:r>
            <w:r w:rsidRPr="00911273">
              <w:rPr>
                <w:rFonts w:asciiTheme="minorHAnsi" w:eastAsiaTheme="minorHAnsi" w:hAnsiTheme="minorHAnsi"/>
                <w:szCs w:val="22"/>
                <w:lang w:eastAsia="en-US"/>
              </w:rPr>
              <w:lastRenderedPageBreak/>
              <w:t>obiektów, należy zliczyć wszystkie, które dostosowano do potrzeb osób niepełnosprawnych.</w:t>
            </w:r>
          </w:p>
        </w:tc>
        <w:tc>
          <w:tcPr>
            <w:tcW w:w="973" w:type="pct"/>
          </w:tcPr>
          <w:p w:rsidR="00F02218" w:rsidRPr="00911273" w:rsidRDefault="00F02218" w:rsidP="007650AC">
            <w:pPr>
              <w:spacing w:before="0" w:line="240" w:lineRule="auto"/>
              <w:jc w:val="both"/>
              <w:rPr>
                <w:rFonts w:asciiTheme="minorHAnsi" w:eastAsiaTheme="minorHAnsi" w:hAnsiTheme="minorHAnsi"/>
                <w:szCs w:val="22"/>
                <w:lang w:eastAsia="en-US"/>
              </w:rPr>
            </w:pPr>
            <w:r>
              <w:rPr>
                <w:rFonts w:asciiTheme="minorHAnsi" w:eastAsiaTheme="minorHAnsi" w:hAnsiTheme="minorHAnsi"/>
                <w:szCs w:val="22"/>
                <w:lang w:eastAsia="en-US"/>
              </w:rPr>
              <w:lastRenderedPageBreak/>
              <w:t>horyzontalny</w:t>
            </w:r>
          </w:p>
        </w:tc>
      </w:tr>
      <w:tr w:rsidR="00F02218" w:rsidRPr="00911273" w:rsidTr="00F02218">
        <w:trPr>
          <w:trHeight w:val="20"/>
          <w:jc w:val="center"/>
        </w:trPr>
        <w:tc>
          <w:tcPr>
            <w:tcW w:w="1127" w:type="pct"/>
            <w:shd w:val="clear" w:color="auto" w:fill="auto"/>
          </w:tcPr>
          <w:p w:rsidR="00F02218" w:rsidRPr="00911273" w:rsidRDefault="00F02218" w:rsidP="007650AC">
            <w:pPr>
              <w:spacing w:before="0" w:line="240" w:lineRule="auto"/>
              <w:rPr>
                <w:rFonts w:asciiTheme="minorHAnsi" w:eastAsiaTheme="minorHAnsi" w:hAnsiTheme="minorHAnsi"/>
                <w:szCs w:val="22"/>
                <w:lang w:eastAsia="en-US"/>
              </w:rPr>
            </w:pPr>
            <w:r w:rsidRPr="00911273">
              <w:rPr>
                <w:rFonts w:asciiTheme="minorHAnsi" w:eastAsiaTheme="minorHAnsi" w:hAnsiTheme="minorHAnsi"/>
                <w:szCs w:val="22"/>
                <w:lang w:eastAsia="en-US"/>
              </w:rPr>
              <w:lastRenderedPageBreak/>
              <w:t>Liczba osób objętych szkoleniami / doradztwem w zakresie kompetencji cyfrowych</w:t>
            </w:r>
            <w:r>
              <w:rPr>
                <w:rFonts w:asciiTheme="minorHAnsi" w:eastAsiaTheme="minorHAnsi" w:hAnsiTheme="minorHAnsi"/>
                <w:szCs w:val="22"/>
                <w:lang w:eastAsia="en-US"/>
              </w:rPr>
              <w:t xml:space="preserve"> O/K/M</w:t>
            </w:r>
          </w:p>
        </w:tc>
        <w:tc>
          <w:tcPr>
            <w:tcW w:w="458" w:type="pct"/>
          </w:tcPr>
          <w:p w:rsidR="00F02218" w:rsidRPr="00911273" w:rsidRDefault="00F02218" w:rsidP="007650AC">
            <w:pPr>
              <w:spacing w:before="0" w:line="240" w:lineRule="auto"/>
              <w:rPr>
                <w:rFonts w:asciiTheme="minorHAnsi" w:eastAsiaTheme="minorHAnsi" w:hAnsiTheme="minorHAnsi"/>
                <w:szCs w:val="22"/>
                <w:lang w:eastAsia="en-US"/>
              </w:rPr>
            </w:pPr>
            <w:r>
              <w:rPr>
                <w:rFonts w:asciiTheme="minorHAnsi" w:eastAsiaTheme="minorHAnsi" w:hAnsiTheme="minorHAnsi"/>
                <w:szCs w:val="22"/>
                <w:lang w:eastAsia="en-US"/>
              </w:rPr>
              <w:t>o</w:t>
            </w:r>
            <w:r w:rsidRPr="00911273">
              <w:rPr>
                <w:rFonts w:asciiTheme="minorHAnsi" w:eastAsiaTheme="minorHAnsi" w:hAnsiTheme="minorHAnsi"/>
                <w:szCs w:val="22"/>
                <w:lang w:eastAsia="en-US"/>
              </w:rPr>
              <w:t>s</w:t>
            </w:r>
            <w:r>
              <w:rPr>
                <w:rFonts w:asciiTheme="minorHAnsi" w:eastAsiaTheme="minorHAnsi" w:hAnsiTheme="minorHAnsi"/>
                <w:szCs w:val="22"/>
                <w:lang w:eastAsia="en-US"/>
              </w:rPr>
              <w:t>.</w:t>
            </w:r>
          </w:p>
        </w:tc>
        <w:tc>
          <w:tcPr>
            <w:tcW w:w="2442" w:type="pct"/>
            <w:shd w:val="clear" w:color="auto" w:fill="auto"/>
          </w:tcPr>
          <w:p w:rsidR="00F02218" w:rsidRPr="00911273" w:rsidRDefault="00F02218" w:rsidP="007650AC">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t xml:space="preserve">Wskaźnik mierzy liczbę osób objętych szkoleniami / doradztwem w zakresie nabywania / doskonalenia umiejętności warunkujących efektywne korzystanie z mediów elektronicznych tj. m.in. korzystania z komputera, różnych rodzajów oprogramowania, </w:t>
            </w:r>
            <w:proofErr w:type="spellStart"/>
            <w:r w:rsidRPr="00911273">
              <w:rPr>
                <w:rFonts w:asciiTheme="minorHAnsi" w:eastAsiaTheme="minorHAnsi" w:hAnsiTheme="minorHAnsi"/>
                <w:szCs w:val="22"/>
                <w:lang w:eastAsia="en-US"/>
              </w:rPr>
              <w:t>internetu</w:t>
            </w:r>
            <w:proofErr w:type="spellEnd"/>
            <w:r w:rsidRPr="00911273">
              <w:rPr>
                <w:rFonts w:asciiTheme="minorHAnsi" w:eastAsiaTheme="minorHAnsi" w:hAnsiTheme="minorHAnsi"/>
                <w:szCs w:val="22"/>
                <w:lang w:eastAsia="en-US"/>
              </w:rPr>
              <w:t xml:space="preserve"> oraz kompetencji ściśle informatycznych (np. programowanie, zarządzanie bazami danych, administracja sieciami, administracja witrynami internetowymi). </w:t>
            </w:r>
          </w:p>
          <w:p w:rsidR="00F02218" w:rsidRPr="00911273" w:rsidRDefault="00F02218" w:rsidP="007650AC">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szCs w:val="22"/>
                <w:lang w:eastAsia="en-US"/>
              </w:rPr>
              <w:t>Wskaźnik ma agregować wszystkie osoby objęte wsparciem w zakresie TIK we wszystkich programach i projektach, także tych, gdzie szkolenie dotyczy obsługi specyficznego systemu teleinformatycznego, którego wdrożenia dotyczy projekt. Taka sytuacja może wystąpić przy cross-</w:t>
            </w:r>
            <w:proofErr w:type="spellStart"/>
            <w:r w:rsidRPr="00911273">
              <w:rPr>
                <w:rFonts w:asciiTheme="minorHAnsi" w:eastAsiaTheme="minorHAnsi" w:hAnsiTheme="minorHAnsi"/>
                <w:szCs w:val="22"/>
                <w:lang w:eastAsia="en-US"/>
              </w:rPr>
              <w:t>financingu</w:t>
            </w:r>
            <w:proofErr w:type="spellEnd"/>
            <w:r w:rsidRPr="00911273">
              <w:rPr>
                <w:rFonts w:asciiTheme="minorHAnsi" w:eastAsiaTheme="minorHAnsi" w:hAnsiTheme="minorHAnsi"/>
                <w:szCs w:val="22"/>
                <w:lang w:eastAsia="en-US"/>
              </w:rPr>
              <w:t xml:space="preserve"> w projektach POPC i RPO dotyczących e-usług publicznych, ale również np. w POIŚ przy okazji wdrażania inteligentnych systemów transportowych. Identyfikacja charakteru i zakresu nabywanych kompetencji będzie możliwa dzięki możliwości pogrupowania wskaźnika według programów, osi priorytetowych i priorytetów inwestycyjnych.</w:t>
            </w:r>
          </w:p>
        </w:tc>
        <w:tc>
          <w:tcPr>
            <w:tcW w:w="973" w:type="pct"/>
          </w:tcPr>
          <w:p w:rsidR="00F02218" w:rsidRPr="00911273" w:rsidRDefault="00E2644E" w:rsidP="007650AC">
            <w:pPr>
              <w:spacing w:before="0" w:line="240" w:lineRule="auto"/>
              <w:jc w:val="both"/>
              <w:rPr>
                <w:rFonts w:asciiTheme="minorHAnsi" w:eastAsiaTheme="minorHAnsi" w:hAnsiTheme="minorHAnsi"/>
                <w:szCs w:val="22"/>
                <w:lang w:eastAsia="en-US"/>
              </w:rPr>
            </w:pPr>
            <w:r>
              <w:rPr>
                <w:rFonts w:asciiTheme="minorHAnsi" w:eastAsiaTheme="minorHAnsi" w:hAnsiTheme="minorHAnsi"/>
                <w:szCs w:val="22"/>
                <w:lang w:eastAsia="en-US"/>
              </w:rPr>
              <w:t>h</w:t>
            </w:r>
            <w:r w:rsidR="00F02218">
              <w:rPr>
                <w:rFonts w:asciiTheme="minorHAnsi" w:eastAsiaTheme="minorHAnsi" w:hAnsiTheme="minorHAnsi"/>
                <w:szCs w:val="22"/>
                <w:lang w:eastAsia="en-US"/>
              </w:rPr>
              <w:t>oryzontalny</w:t>
            </w:r>
          </w:p>
        </w:tc>
      </w:tr>
      <w:tr w:rsidR="00F02218" w:rsidRPr="00911273" w:rsidTr="00F02218">
        <w:trPr>
          <w:trHeight w:val="20"/>
          <w:jc w:val="center"/>
        </w:trPr>
        <w:tc>
          <w:tcPr>
            <w:tcW w:w="1127" w:type="pct"/>
            <w:shd w:val="clear" w:color="auto" w:fill="auto"/>
          </w:tcPr>
          <w:p w:rsidR="00F02218" w:rsidRPr="00911273" w:rsidRDefault="00F02218" w:rsidP="007650AC">
            <w:pPr>
              <w:spacing w:before="0" w:line="240" w:lineRule="auto"/>
              <w:rPr>
                <w:rFonts w:asciiTheme="minorHAnsi" w:eastAsiaTheme="minorHAnsi" w:hAnsiTheme="minorHAnsi"/>
                <w:szCs w:val="22"/>
                <w:lang w:eastAsia="en-US"/>
              </w:rPr>
            </w:pPr>
            <w:r w:rsidRPr="00911273">
              <w:rPr>
                <w:rFonts w:asciiTheme="minorHAnsi" w:eastAsiaTheme="minorHAnsi" w:hAnsiTheme="minorHAnsi" w:cs="Arial"/>
                <w:color w:val="000000"/>
                <w:szCs w:val="22"/>
                <w:lang w:eastAsia="en-US"/>
              </w:rPr>
              <w:t>Liczba projektów, w których sfinansowano koszty racjonalnych usprawnień dla osób z niepełnosprawnościami</w:t>
            </w:r>
          </w:p>
        </w:tc>
        <w:tc>
          <w:tcPr>
            <w:tcW w:w="458" w:type="pct"/>
          </w:tcPr>
          <w:p w:rsidR="00F02218" w:rsidRPr="00911273" w:rsidRDefault="00F02218" w:rsidP="007650AC">
            <w:pPr>
              <w:spacing w:before="0" w:line="240" w:lineRule="auto"/>
              <w:rPr>
                <w:rFonts w:asciiTheme="minorHAnsi" w:eastAsiaTheme="minorHAnsi" w:hAnsiTheme="minorHAnsi"/>
                <w:szCs w:val="22"/>
                <w:lang w:eastAsia="en-US"/>
              </w:rPr>
            </w:pPr>
            <w:r>
              <w:rPr>
                <w:rFonts w:asciiTheme="minorHAnsi" w:eastAsiaTheme="minorHAnsi" w:hAnsiTheme="minorHAnsi"/>
                <w:szCs w:val="22"/>
                <w:lang w:eastAsia="en-US"/>
              </w:rPr>
              <w:t>s</w:t>
            </w:r>
            <w:r w:rsidRPr="00911273">
              <w:rPr>
                <w:rFonts w:asciiTheme="minorHAnsi" w:eastAsiaTheme="minorHAnsi" w:hAnsiTheme="minorHAnsi"/>
                <w:szCs w:val="22"/>
                <w:lang w:eastAsia="en-US"/>
              </w:rPr>
              <w:t>zt</w:t>
            </w:r>
            <w:r>
              <w:rPr>
                <w:rFonts w:asciiTheme="minorHAnsi" w:eastAsiaTheme="minorHAnsi" w:hAnsiTheme="minorHAnsi"/>
                <w:szCs w:val="22"/>
                <w:lang w:eastAsia="en-US"/>
              </w:rPr>
              <w:t>.</w:t>
            </w:r>
            <w:r w:rsidRPr="00911273">
              <w:rPr>
                <w:rFonts w:asciiTheme="minorHAnsi" w:eastAsiaTheme="minorHAnsi" w:hAnsiTheme="minorHAnsi"/>
                <w:szCs w:val="22"/>
                <w:lang w:eastAsia="en-US"/>
              </w:rPr>
              <w:t xml:space="preserve"> </w:t>
            </w:r>
          </w:p>
        </w:tc>
        <w:tc>
          <w:tcPr>
            <w:tcW w:w="2442" w:type="pct"/>
            <w:shd w:val="clear" w:color="auto" w:fill="auto"/>
          </w:tcPr>
          <w:p w:rsidR="00F02218" w:rsidRPr="00911273" w:rsidRDefault="00F02218" w:rsidP="007650AC">
            <w:pPr>
              <w:autoSpaceDE w:val="0"/>
              <w:autoSpaceDN w:val="0"/>
              <w:adjustRightInd w:val="0"/>
              <w:spacing w:before="0" w:line="240" w:lineRule="auto"/>
              <w:jc w:val="both"/>
              <w:rPr>
                <w:rFonts w:asciiTheme="minorHAnsi" w:eastAsiaTheme="minorHAnsi" w:hAnsiTheme="minorHAnsi" w:cs="Arial"/>
                <w:color w:val="000000"/>
                <w:szCs w:val="22"/>
                <w:lang w:eastAsia="en-US"/>
              </w:rPr>
            </w:pPr>
            <w:r w:rsidRPr="00911273">
              <w:rPr>
                <w:rFonts w:asciiTheme="minorHAnsi" w:eastAsiaTheme="minorHAnsi" w:hAnsiTheme="minorHAnsi" w:cs="Arial"/>
                <w:color w:val="000000"/>
                <w:szCs w:val="22"/>
                <w:lang w:eastAsia="en-US"/>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t>
            </w:r>
          </w:p>
          <w:p w:rsidR="00F02218" w:rsidRPr="00911273" w:rsidRDefault="00F02218" w:rsidP="007650AC">
            <w:pPr>
              <w:autoSpaceDE w:val="0"/>
              <w:autoSpaceDN w:val="0"/>
              <w:adjustRightInd w:val="0"/>
              <w:spacing w:before="0" w:line="240" w:lineRule="auto"/>
              <w:jc w:val="both"/>
              <w:rPr>
                <w:rFonts w:asciiTheme="minorHAnsi" w:eastAsiaTheme="minorHAnsi" w:hAnsiTheme="minorHAnsi" w:cs="Arial"/>
                <w:color w:val="000000"/>
                <w:szCs w:val="22"/>
                <w:lang w:eastAsia="en-US"/>
              </w:rPr>
            </w:pPr>
            <w:r w:rsidRPr="00911273">
              <w:rPr>
                <w:rFonts w:asciiTheme="minorHAnsi" w:eastAsiaTheme="minorHAnsi" w:hAnsiTheme="minorHAnsi" w:cs="Arial"/>
                <w:color w:val="000000"/>
                <w:szCs w:val="22"/>
                <w:lang w:eastAsia="en-US"/>
              </w:rPr>
              <w:t xml:space="preserve">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w:t>
            </w:r>
          </w:p>
          <w:p w:rsidR="00F02218" w:rsidRPr="00911273" w:rsidRDefault="00F02218" w:rsidP="007650AC">
            <w:pPr>
              <w:spacing w:before="0" w:line="240" w:lineRule="auto"/>
              <w:jc w:val="both"/>
              <w:rPr>
                <w:rFonts w:asciiTheme="minorHAnsi" w:eastAsiaTheme="minorHAnsi" w:hAnsiTheme="minorHAnsi"/>
                <w:szCs w:val="22"/>
                <w:lang w:eastAsia="en-US"/>
              </w:rPr>
            </w:pPr>
            <w:r w:rsidRPr="00911273">
              <w:rPr>
                <w:rFonts w:asciiTheme="minorHAnsi" w:eastAsiaTheme="minorHAnsi" w:hAnsiTheme="minorHAnsi" w:cs="Arial"/>
                <w:color w:val="000000"/>
                <w:szCs w:val="22"/>
                <w:lang w:eastAsia="en-US"/>
              </w:rPr>
              <w:t xml:space="preserve">Definicja na podstawie </w:t>
            </w:r>
            <w:r w:rsidRPr="00911273">
              <w:rPr>
                <w:rFonts w:asciiTheme="minorHAnsi" w:eastAsiaTheme="minorHAnsi" w:hAnsiTheme="minorHAnsi" w:cs="Arial"/>
                <w:i/>
                <w:iCs/>
                <w:color w:val="000000"/>
                <w:szCs w:val="22"/>
                <w:lang w:eastAsia="en-US"/>
              </w:rPr>
              <w:t xml:space="preserve">Wytycznych w zakresie </w:t>
            </w:r>
            <w:r w:rsidRPr="00911273">
              <w:rPr>
                <w:rFonts w:asciiTheme="minorHAnsi" w:eastAsiaTheme="minorHAnsi" w:hAnsiTheme="minorHAnsi" w:cs="Arial"/>
                <w:i/>
                <w:iCs/>
                <w:color w:val="000000"/>
                <w:szCs w:val="22"/>
                <w:lang w:eastAsia="en-US"/>
              </w:rPr>
              <w:lastRenderedPageBreak/>
              <w:t>realizacji zasady równości szans i niedyskryminacji, w tym dostępności dla osób z niepełnosprawnościami oraz równości szans kobiet i mężczyzn w ramach funduszy unijnych na lata 2014-2020</w:t>
            </w:r>
            <w:r w:rsidRPr="00911273">
              <w:rPr>
                <w:rFonts w:asciiTheme="minorHAnsi" w:eastAsiaTheme="minorHAnsi" w:hAnsiTheme="minorHAnsi" w:cs="Arial"/>
                <w:color w:val="000000"/>
                <w:szCs w:val="22"/>
                <w:lang w:eastAsia="en-US"/>
              </w:rPr>
              <w:t>.</w:t>
            </w:r>
          </w:p>
        </w:tc>
        <w:tc>
          <w:tcPr>
            <w:tcW w:w="973" w:type="pct"/>
          </w:tcPr>
          <w:p w:rsidR="00F02218" w:rsidRPr="00911273" w:rsidRDefault="00F02218" w:rsidP="007650AC">
            <w:pPr>
              <w:autoSpaceDE w:val="0"/>
              <w:autoSpaceDN w:val="0"/>
              <w:adjustRightInd w:val="0"/>
              <w:spacing w:before="0" w:line="240" w:lineRule="auto"/>
              <w:jc w:val="both"/>
              <w:rPr>
                <w:rFonts w:asciiTheme="minorHAnsi" w:eastAsiaTheme="minorHAnsi" w:hAnsiTheme="minorHAnsi" w:cs="Arial"/>
                <w:color w:val="000000"/>
                <w:szCs w:val="22"/>
                <w:lang w:eastAsia="en-US"/>
              </w:rPr>
            </w:pPr>
            <w:r>
              <w:rPr>
                <w:rFonts w:asciiTheme="minorHAnsi" w:eastAsiaTheme="minorHAnsi" w:hAnsiTheme="minorHAnsi" w:cs="Arial"/>
                <w:color w:val="000000"/>
                <w:szCs w:val="22"/>
                <w:lang w:eastAsia="en-US"/>
              </w:rPr>
              <w:lastRenderedPageBreak/>
              <w:t>horyzontalny</w:t>
            </w:r>
          </w:p>
        </w:tc>
      </w:tr>
    </w:tbl>
    <w:p w:rsidR="003D3BC5" w:rsidRDefault="008C495E" w:rsidP="007650AC">
      <w:pPr>
        <w:spacing w:line="240" w:lineRule="auto"/>
        <w:jc w:val="both"/>
        <w:rPr>
          <w:rFonts w:asciiTheme="minorHAnsi" w:hAnsiTheme="minorHAnsi" w:cs="Arial"/>
          <w:szCs w:val="22"/>
        </w:rPr>
      </w:pPr>
      <w:r w:rsidRPr="00911273">
        <w:rPr>
          <w:rFonts w:asciiTheme="minorHAnsi" w:hAnsiTheme="minorHAnsi"/>
          <w:b/>
          <w:szCs w:val="22"/>
        </w:rPr>
        <w:lastRenderedPageBreak/>
        <w:t>Wskaźniki rezultatu bezpośredniego</w:t>
      </w:r>
      <w:r w:rsidR="007300ED">
        <w:rPr>
          <w:rFonts w:asciiTheme="minorHAnsi" w:hAnsiTheme="minorHAnsi"/>
          <w:szCs w:val="22"/>
        </w:rPr>
        <w:t xml:space="preserve"> są to </w:t>
      </w:r>
      <w:r w:rsidR="003D3BC5" w:rsidRPr="00911273">
        <w:rPr>
          <w:rFonts w:asciiTheme="minorHAnsi" w:hAnsiTheme="minorHAnsi"/>
          <w:szCs w:val="22"/>
        </w:rPr>
        <w:t>w</w:t>
      </w:r>
      <w:r w:rsidR="003D3BC5" w:rsidRPr="00911273">
        <w:rPr>
          <w:rFonts w:asciiTheme="minorHAnsi" w:hAnsiTheme="minorHAnsi" w:cs="Arial"/>
          <w:szCs w:val="22"/>
        </w:rPr>
        <w:t>ska</w:t>
      </w:r>
      <w:r w:rsidR="003D3BC5" w:rsidRPr="003D3BC5">
        <w:rPr>
          <w:rFonts w:asciiTheme="minorHAnsi" w:hAnsiTheme="minorHAnsi" w:cs="Arial"/>
          <w:szCs w:val="22"/>
        </w:rPr>
        <w:t>źniki odnoszące się</w:t>
      </w:r>
      <w:r w:rsidR="0015486C">
        <w:rPr>
          <w:rFonts w:asciiTheme="minorHAnsi" w:hAnsiTheme="minorHAnsi" w:cs="Arial"/>
          <w:szCs w:val="22"/>
        </w:rPr>
        <w:t xml:space="preserve"> </w:t>
      </w:r>
      <w:r w:rsidR="003D3BC5" w:rsidRPr="003D3BC5">
        <w:rPr>
          <w:rFonts w:asciiTheme="minorHAnsi" w:hAnsiTheme="minorHAnsi" w:cs="Arial"/>
          <w:szCs w:val="22"/>
        </w:rPr>
        <w:t xml:space="preserve">do bezpośrednich efektów projektu, </w:t>
      </w:r>
      <w:r w:rsidR="008E3F0D">
        <w:rPr>
          <w:rFonts w:asciiTheme="minorHAnsi" w:hAnsiTheme="minorHAnsi" w:cs="Arial"/>
          <w:szCs w:val="22"/>
        </w:rPr>
        <w:t xml:space="preserve">stanowią </w:t>
      </w:r>
      <w:r w:rsidR="003D3BC5" w:rsidRPr="003D3BC5">
        <w:rPr>
          <w:rFonts w:asciiTheme="minorHAnsi" w:hAnsiTheme="minorHAnsi" w:cs="Arial"/>
          <w:szCs w:val="22"/>
        </w:rPr>
        <w:t>wynik</w:t>
      </w:r>
      <w:r w:rsidR="008E3F0D">
        <w:rPr>
          <w:rFonts w:asciiTheme="minorHAnsi" w:hAnsiTheme="minorHAnsi" w:cs="Arial"/>
          <w:szCs w:val="22"/>
        </w:rPr>
        <w:t xml:space="preserve"> realizacji</w:t>
      </w:r>
      <w:r w:rsidR="003D3BC5" w:rsidRPr="003D3BC5">
        <w:rPr>
          <w:rFonts w:asciiTheme="minorHAnsi" w:hAnsiTheme="minorHAnsi" w:cs="Arial"/>
          <w:szCs w:val="22"/>
        </w:rPr>
        <w:t xml:space="preserve"> projektu, ale mogą</w:t>
      </w:r>
      <w:r w:rsidR="003D3BC5" w:rsidRPr="00911273">
        <w:rPr>
          <w:rFonts w:asciiTheme="minorHAnsi" w:hAnsiTheme="minorHAnsi" w:cs="Arial"/>
          <w:szCs w:val="22"/>
        </w:rPr>
        <w:t xml:space="preserve"> </w:t>
      </w:r>
      <w:r w:rsidR="003D3BC5" w:rsidRPr="003D3BC5">
        <w:rPr>
          <w:rFonts w:asciiTheme="minorHAnsi" w:hAnsiTheme="minorHAnsi" w:cs="Arial"/>
          <w:szCs w:val="22"/>
        </w:rPr>
        <w:t>mieć</w:t>
      </w:r>
      <w:r w:rsidR="003D3BC5" w:rsidRPr="00911273">
        <w:rPr>
          <w:rFonts w:asciiTheme="minorHAnsi" w:hAnsiTheme="minorHAnsi" w:cs="Arial"/>
          <w:szCs w:val="22"/>
        </w:rPr>
        <w:t xml:space="preserve"> </w:t>
      </w:r>
      <w:r w:rsidR="003D3BC5" w:rsidRPr="003D3BC5">
        <w:rPr>
          <w:rFonts w:asciiTheme="minorHAnsi" w:hAnsiTheme="minorHAnsi" w:cs="Arial"/>
          <w:szCs w:val="22"/>
        </w:rPr>
        <w:t>na ni</w:t>
      </w:r>
      <w:r w:rsidR="008E3F0D">
        <w:rPr>
          <w:rFonts w:asciiTheme="minorHAnsi" w:hAnsiTheme="minorHAnsi" w:cs="Arial"/>
          <w:szCs w:val="22"/>
        </w:rPr>
        <w:t>ego</w:t>
      </w:r>
      <w:r w:rsidR="003D3BC5" w:rsidRPr="00911273">
        <w:rPr>
          <w:rFonts w:asciiTheme="minorHAnsi" w:hAnsiTheme="minorHAnsi" w:cs="Arial"/>
          <w:szCs w:val="22"/>
        </w:rPr>
        <w:t xml:space="preserve"> </w:t>
      </w:r>
      <w:r w:rsidR="003D3BC5" w:rsidRPr="003D3BC5">
        <w:rPr>
          <w:rFonts w:asciiTheme="minorHAnsi" w:hAnsiTheme="minorHAnsi" w:cs="Arial"/>
          <w:szCs w:val="22"/>
        </w:rPr>
        <w:t xml:space="preserve">wpływ także inne zewnętrzne czynniki; niepowiązane bezpośrednio z wydatkami ponoszonymi w projekcie. </w:t>
      </w:r>
      <w:r w:rsidR="007300ED">
        <w:rPr>
          <w:rFonts w:asciiTheme="minorHAnsi" w:hAnsiTheme="minorHAnsi" w:cs="Arial"/>
          <w:szCs w:val="22"/>
        </w:rPr>
        <w:t>Dostarczają informacji o zmianach jakie nastąpiły w wyniku realizacji projektu, w</w:t>
      </w:r>
      <w:r w:rsidR="00141571">
        <w:rPr>
          <w:rFonts w:asciiTheme="minorHAnsi" w:hAnsiTheme="minorHAnsi" w:cs="Arial"/>
          <w:szCs w:val="22"/>
        </w:rPr>
        <w:t> </w:t>
      </w:r>
      <w:r w:rsidR="007300ED">
        <w:rPr>
          <w:rFonts w:asciiTheme="minorHAnsi" w:hAnsiTheme="minorHAnsi" w:cs="Arial"/>
          <w:szCs w:val="22"/>
        </w:rPr>
        <w:t xml:space="preserve">porównaniu z wielkością wyjściową (bazową). Są logicznie powiązane ze wskaźnikami produktu. </w:t>
      </w:r>
      <w:r w:rsidR="000F5C98">
        <w:rPr>
          <w:rFonts w:asciiTheme="minorHAnsi" w:hAnsiTheme="minorHAnsi" w:cs="Arial"/>
          <w:szCs w:val="22"/>
        </w:rPr>
        <w:t xml:space="preserve"> Muszą być adekwatne do celu projektu.</w:t>
      </w:r>
    </w:p>
    <w:p w:rsidR="000F5C98" w:rsidRDefault="000F5C98" w:rsidP="007650AC">
      <w:pPr>
        <w:pStyle w:val="Default"/>
        <w:jc w:val="both"/>
        <w:rPr>
          <w:sz w:val="22"/>
          <w:szCs w:val="22"/>
        </w:rPr>
      </w:pPr>
    </w:p>
    <w:p w:rsidR="000F5C98" w:rsidRPr="000F5C98" w:rsidRDefault="000F5C98" w:rsidP="007650AC">
      <w:pPr>
        <w:pStyle w:val="Default"/>
        <w:jc w:val="both"/>
        <w:rPr>
          <w:rFonts w:asciiTheme="minorHAnsi" w:hAnsiTheme="minorHAnsi"/>
          <w:sz w:val="22"/>
          <w:szCs w:val="22"/>
        </w:rPr>
      </w:pPr>
      <w:r w:rsidRPr="000F5C98">
        <w:rPr>
          <w:rFonts w:asciiTheme="minorHAnsi" w:hAnsiTheme="minorHAnsi"/>
          <w:sz w:val="22"/>
          <w:szCs w:val="22"/>
        </w:rPr>
        <w:t xml:space="preserve">Dla każdego z wybranych wskaźników Wnioskodawca zobowiązany jest do wskazania </w:t>
      </w:r>
      <w:r w:rsidRPr="000F5C98">
        <w:rPr>
          <w:rFonts w:asciiTheme="minorHAnsi" w:hAnsiTheme="minorHAnsi"/>
          <w:i/>
          <w:sz w:val="22"/>
          <w:szCs w:val="22"/>
        </w:rPr>
        <w:t>„Jednostki miary”</w:t>
      </w:r>
      <w:r w:rsidRPr="000F5C98">
        <w:rPr>
          <w:rFonts w:asciiTheme="minorHAnsi" w:hAnsiTheme="minorHAnsi"/>
          <w:sz w:val="22"/>
          <w:szCs w:val="22"/>
        </w:rPr>
        <w:t xml:space="preserve">, </w:t>
      </w:r>
      <w:r w:rsidRPr="000F5C98">
        <w:rPr>
          <w:rFonts w:asciiTheme="minorHAnsi" w:hAnsiTheme="minorHAnsi"/>
          <w:i/>
          <w:sz w:val="22"/>
          <w:szCs w:val="22"/>
        </w:rPr>
        <w:t>„Wartości bazowej”</w:t>
      </w:r>
      <w:r w:rsidRPr="000F5C98">
        <w:rPr>
          <w:rFonts w:asciiTheme="minorHAnsi" w:hAnsiTheme="minorHAnsi"/>
          <w:sz w:val="22"/>
          <w:szCs w:val="22"/>
        </w:rPr>
        <w:t xml:space="preserve">, </w:t>
      </w:r>
      <w:r w:rsidRPr="000F5C98">
        <w:rPr>
          <w:rFonts w:asciiTheme="minorHAnsi" w:hAnsiTheme="minorHAnsi"/>
          <w:i/>
          <w:sz w:val="22"/>
          <w:szCs w:val="22"/>
        </w:rPr>
        <w:t>„Wartości docelowej wskaźnika”</w:t>
      </w:r>
      <w:r w:rsidRPr="000F5C98">
        <w:rPr>
          <w:rFonts w:asciiTheme="minorHAnsi" w:hAnsiTheme="minorHAnsi"/>
          <w:sz w:val="22"/>
          <w:szCs w:val="22"/>
        </w:rPr>
        <w:t xml:space="preserve">, a także </w:t>
      </w:r>
      <w:r w:rsidR="00141571">
        <w:rPr>
          <w:rFonts w:asciiTheme="minorHAnsi" w:hAnsiTheme="minorHAnsi"/>
          <w:i/>
          <w:sz w:val="22"/>
          <w:szCs w:val="22"/>
        </w:rPr>
        <w:t>„Źródła informacji o </w:t>
      </w:r>
      <w:r w:rsidRPr="000F5C98">
        <w:rPr>
          <w:rFonts w:asciiTheme="minorHAnsi" w:hAnsiTheme="minorHAnsi"/>
          <w:i/>
          <w:sz w:val="22"/>
          <w:szCs w:val="22"/>
        </w:rPr>
        <w:t>wskaźniku”</w:t>
      </w:r>
      <w:r w:rsidRPr="000F5C98">
        <w:rPr>
          <w:rFonts w:asciiTheme="minorHAnsi" w:hAnsiTheme="minorHAnsi"/>
          <w:sz w:val="22"/>
          <w:szCs w:val="22"/>
        </w:rPr>
        <w:t xml:space="preserve">. </w:t>
      </w:r>
    </w:p>
    <w:p w:rsidR="000F5C98" w:rsidRPr="000F5C98" w:rsidRDefault="000F5C98" w:rsidP="007650AC">
      <w:pPr>
        <w:pStyle w:val="Default"/>
        <w:jc w:val="both"/>
        <w:rPr>
          <w:rFonts w:asciiTheme="minorHAnsi" w:hAnsiTheme="minorHAnsi"/>
          <w:sz w:val="22"/>
          <w:szCs w:val="22"/>
        </w:rPr>
      </w:pPr>
      <w:r w:rsidRPr="000F5C98">
        <w:rPr>
          <w:rFonts w:asciiTheme="minorHAnsi" w:hAnsiTheme="minorHAnsi"/>
          <w:sz w:val="22"/>
          <w:szCs w:val="22"/>
        </w:rPr>
        <w:t>Wartość docelowa dla wskaźnika rezultatu to wyrażony liczbowo stan danego wskaźnika uzyskany w</w:t>
      </w:r>
      <w:r w:rsidR="00141571">
        <w:rPr>
          <w:rFonts w:asciiTheme="minorHAnsi" w:hAnsiTheme="minorHAnsi"/>
          <w:sz w:val="22"/>
          <w:szCs w:val="22"/>
        </w:rPr>
        <w:t> </w:t>
      </w:r>
      <w:r w:rsidRPr="000F5C98">
        <w:rPr>
          <w:rFonts w:asciiTheme="minorHAnsi" w:hAnsiTheme="minorHAnsi"/>
          <w:sz w:val="22"/>
          <w:szCs w:val="22"/>
        </w:rPr>
        <w:t xml:space="preserve">efekcie realizacji projektu </w:t>
      </w:r>
    </w:p>
    <w:p w:rsidR="000F5C98" w:rsidRPr="000F5C98" w:rsidRDefault="000F5C98" w:rsidP="007650AC">
      <w:pPr>
        <w:autoSpaceDE w:val="0"/>
        <w:autoSpaceDN w:val="0"/>
        <w:adjustRightInd w:val="0"/>
        <w:spacing w:before="0" w:line="240" w:lineRule="auto"/>
        <w:jc w:val="both"/>
        <w:rPr>
          <w:rFonts w:asciiTheme="minorHAnsi" w:hAnsiTheme="minorHAnsi"/>
        </w:rPr>
      </w:pPr>
      <w:r w:rsidRPr="000F5C98">
        <w:rPr>
          <w:rFonts w:asciiTheme="minorHAnsi" w:hAnsiTheme="minorHAnsi"/>
        </w:rPr>
        <w:t xml:space="preserve">Jako źródło informacji o wskaźniku wskazać należy odpowiedni dokument (np. </w:t>
      </w:r>
      <w:r w:rsidR="00AD42CF" w:rsidRPr="00642A61">
        <w:rPr>
          <w:rFonts w:asciiTheme="minorHAnsi" w:hAnsiTheme="minorHAnsi"/>
        </w:rPr>
        <w:t>liczba odwiedzin na stronie, liczba użytkowników baz danych</w:t>
      </w:r>
      <w:r w:rsidRPr="000F5C98">
        <w:rPr>
          <w:rFonts w:asciiTheme="minorHAnsi" w:hAnsiTheme="minorHAnsi"/>
        </w:rPr>
        <w:t>).</w:t>
      </w:r>
    </w:p>
    <w:p w:rsidR="007300ED" w:rsidRPr="003D3BC5" w:rsidRDefault="007300ED" w:rsidP="007650AC">
      <w:pPr>
        <w:spacing w:line="240" w:lineRule="auto"/>
        <w:rPr>
          <w:rFonts w:cs="Arial"/>
          <w:szCs w:val="22"/>
        </w:rPr>
      </w:pPr>
    </w:p>
    <w:p w:rsidR="008C495E" w:rsidRPr="00911273" w:rsidRDefault="003D3BC5" w:rsidP="007650AC">
      <w:pPr>
        <w:autoSpaceDE w:val="0"/>
        <w:autoSpaceDN w:val="0"/>
        <w:adjustRightInd w:val="0"/>
        <w:spacing w:before="120" w:after="120" w:line="240" w:lineRule="auto"/>
        <w:jc w:val="both"/>
        <w:rPr>
          <w:rFonts w:asciiTheme="minorHAnsi" w:hAnsiTheme="minorHAnsi"/>
          <w:szCs w:val="22"/>
        </w:rPr>
      </w:pPr>
      <w:r w:rsidRPr="00911273">
        <w:rPr>
          <w:rFonts w:asciiTheme="minorHAnsi" w:hAnsiTheme="minorHAnsi"/>
          <w:szCs w:val="22"/>
        </w:rPr>
        <w:t xml:space="preserve">W ramach Działania </w:t>
      </w:r>
      <w:r w:rsidR="00221FB2">
        <w:rPr>
          <w:rFonts w:asciiTheme="minorHAnsi" w:hAnsiTheme="minorHAnsi"/>
          <w:szCs w:val="22"/>
        </w:rPr>
        <w:t>2</w:t>
      </w:r>
      <w:r w:rsidRPr="00911273">
        <w:rPr>
          <w:rFonts w:asciiTheme="minorHAnsi" w:hAnsiTheme="minorHAnsi"/>
          <w:szCs w:val="22"/>
        </w:rPr>
        <w:t>.</w:t>
      </w:r>
      <w:r w:rsidR="00221FB2">
        <w:rPr>
          <w:rFonts w:asciiTheme="minorHAnsi" w:hAnsiTheme="minorHAnsi"/>
          <w:szCs w:val="22"/>
        </w:rPr>
        <w:t>1</w:t>
      </w:r>
      <w:r w:rsidRPr="00911273">
        <w:rPr>
          <w:rFonts w:asciiTheme="minorHAnsi" w:hAnsiTheme="minorHAnsi"/>
          <w:szCs w:val="22"/>
        </w:rPr>
        <w:t xml:space="preserve"> określono poniższe wskaźniki</w:t>
      </w:r>
      <w:r w:rsidRPr="00911273">
        <w:rPr>
          <w:rFonts w:asciiTheme="minorHAnsi" w:hAnsiTheme="minorHAnsi"/>
          <w:b/>
          <w:szCs w:val="22"/>
        </w:rPr>
        <w:t xml:space="preserve"> </w:t>
      </w:r>
      <w:r w:rsidRPr="003C55C7">
        <w:rPr>
          <w:rFonts w:asciiTheme="minorHAnsi" w:hAnsiTheme="minorHAnsi"/>
          <w:b/>
          <w:szCs w:val="22"/>
        </w:rPr>
        <w:t>rezultatu bezpośredniego</w:t>
      </w:r>
      <w:r w:rsidRPr="00911273">
        <w:rPr>
          <w:rFonts w:asciiTheme="minorHAnsi" w:hAnsiTheme="minorHAnsi"/>
          <w:szCs w:val="22"/>
        </w:rPr>
        <w:t>:</w:t>
      </w:r>
    </w:p>
    <w:tbl>
      <w:tblPr>
        <w:tblW w:w="5127"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ayout w:type="fixed"/>
        <w:tblLook w:val="01E0" w:firstRow="1" w:lastRow="1" w:firstColumn="1" w:lastColumn="1" w:noHBand="0" w:noVBand="0"/>
      </w:tblPr>
      <w:tblGrid>
        <w:gridCol w:w="2207"/>
        <w:gridCol w:w="1303"/>
        <w:gridCol w:w="4065"/>
        <w:gridCol w:w="1949"/>
      </w:tblGrid>
      <w:tr w:rsidR="005657D8" w:rsidRPr="00911273" w:rsidTr="008E5605">
        <w:trPr>
          <w:trHeight w:val="20"/>
          <w:jc w:val="center"/>
        </w:trPr>
        <w:tc>
          <w:tcPr>
            <w:tcW w:w="1159" w:type="pct"/>
            <w:shd w:val="clear" w:color="auto" w:fill="auto"/>
            <w:vAlign w:val="center"/>
          </w:tcPr>
          <w:p w:rsidR="005657D8" w:rsidRPr="00911273" w:rsidRDefault="005657D8" w:rsidP="007650AC">
            <w:pPr>
              <w:spacing w:before="0" w:line="240" w:lineRule="auto"/>
              <w:jc w:val="center"/>
              <w:rPr>
                <w:rFonts w:asciiTheme="minorHAnsi" w:hAnsiTheme="minorHAnsi"/>
                <w:b/>
                <w:szCs w:val="22"/>
              </w:rPr>
            </w:pPr>
            <w:r w:rsidRPr="00911273">
              <w:rPr>
                <w:rFonts w:asciiTheme="minorHAnsi" w:hAnsiTheme="minorHAnsi"/>
                <w:b/>
                <w:szCs w:val="22"/>
              </w:rPr>
              <w:t xml:space="preserve">Nazwa wskaźnika </w:t>
            </w:r>
            <w:r w:rsidRPr="006A09F0">
              <w:rPr>
                <w:rFonts w:asciiTheme="minorHAnsi" w:hAnsiTheme="minorHAnsi"/>
                <w:b/>
                <w:szCs w:val="22"/>
              </w:rPr>
              <w:t>rezultatu bezpośredniego</w:t>
            </w:r>
          </w:p>
        </w:tc>
        <w:tc>
          <w:tcPr>
            <w:tcW w:w="684" w:type="pct"/>
          </w:tcPr>
          <w:p w:rsidR="005657D8" w:rsidRPr="00911273" w:rsidRDefault="005657D8" w:rsidP="007650AC">
            <w:pPr>
              <w:suppressAutoHyphens/>
              <w:spacing w:before="0" w:line="240" w:lineRule="auto"/>
              <w:jc w:val="center"/>
              <w:rPr>
                <w:rFonts w:asciiTheme="minorHAnsi" w:hAnsiTheme="minorHAnsi"/>
                <w:b/>
                <w:bCs/>
                <w:szCs w:val="22"/>
              </w:rPr>
            </w:pPr>
            <w:r w:rsidRPr="00911273">
              <w:rPr>
                <w:rFonts w:asciiTheme="minorHAnsi" w:hAnsiTheme="minorHAnsi"/>
                <w:b/>
                <w:bCs/>
                <w:szCs w:val="22"/>
              </w:rPr>
              <w:t>Jednostka miary</w:t>
            </w:r>
          </w:p>
        </w:tc>
        <w:tc>
          <w:tcPr>
            <w:tcW w:w="2134" w:type="pct"/>
            <w:shd w:val="clear" w:color="auto" w:fill="auto"/>
            <w:vAlign w:val="center"/>
          </w:tcPr>
          <w:p w:rsidR="005657D8" w:rsidRPr="00911273" w:rsidRDefault="005657D8" w:rsidP="007650AC">
            <w:pPr>
              <w:suppressAutoHyphens/>
              <w:spacing w:before="0" w:line="240" w:lineRule="auto"/>
              <w:jc w:val="center"/>
              <w:rPr>
                <w:rFonts w:asciiTheme="minorHAnsi" w:hAnsiTheme="minorHAnsi"/>
                <w:b/>
                <w:szCs w:val="22"/>
              </w:rPr>
            </w:pPr>
            <w:r w:rsidRPr="00911273">
              <w:rPr>
                <w:rFonts w:asciiTheme="minorHAnsi" w:hAnsiTheme="minorHAnsi"/>
                <w:b/>
                <w:bCs/>
                <w:szCs w:val="22"/>
              </w:rPr>
              <w:t>Definicja wskaźnika</w:t>
            </w:r>
          </w:p>
        </w:tc>
        <w:tc>
          <w:tcPr>
            <w:tcW w:w="1023" w:type="pct"/>
          </w:tcPr>
          <w:p w:rsidR="005657D8" w:rsidRPr="00911273" w:rsidRDefault="007E025A" w:rsidP="007650AC">
            <w:pPr>
              <w:suppressAutoHyphens/>
              <w:spacing w:before="0" w:line="240" w:lineRule="auto"/>
              <w:jc w:val="center"/>
              <w:rPr>
                <w:rFonts w:asciiTheme="minorHAnsi" w:hAnsiTheme="minorHAnsi"/>
                <w:b/>
                <w:bCs/>
                <w:szCs w:val="22"/>
              </w:rPr>
            </w:pPr>
            <w:r>
              <w:rPr>
                <w:rFonts w:asciiTheme="minorHAnsi" w:hAnsiTheme="minorHAnsi"/>
                <w:b/>
                <w:bCs/>
                <w:szCs w:val="22"/>
              </w:rPr>
              <w:t>Rodzaj dokumentu, w </w:t>
            </w:r>
            <w:r w:rsidR="005657D8">
              <w:rPr>
                <w:rFonts w:asciiTheme="minorHAnsi" w:hAnsiTheme="minorHAnsi"/>
                <w:b/>
                <w:bCs/>
                <w:szCs w:val="22"/>
              </w:rPr>
              <w:t>którym określono wskaźnik</w:t>
            </w:r>
          </w:p>
        </w:tc>
      </w:tr>
      <w:tr w:rsidR="005657D8" w:rsidRPr="00911273" w:rsidTr="008E5605">
        <w:trPr>
          <w:trHeight w:val="20"/>
          <w:jc w:val="center"/>
        </w:trPr>
        <w:tc>
          <w:tcPr>
            <w:tcW w:w="1159" w:type="pct"/>
            <w:shd w:val="clear" w:color="auto" w:fill="auto"/>
          </w:tcPr>
          <w:p w:rsidR="00221FB2" w:rsidRPr="00221FB2" w:rsidRDefault="00221FB2" w:rsidP="00221FB2">
            <w:pPr>
              <w:tabs>
                <w:tab w:val="left" w:pos="316"/>
              </w:tabs>
              <w:spacing w:before="40" w:after="40"/>
              <w:rPr>
                <w:rFonts w:ascii="Calibri" w:hAnsi="Calibri" w:cs="Arial"/>
                <w:sz w:val="24"/>
                <w:szCs w:val="24"/>
              </w:rPr>
            </w:pPr>
            <w:r w:rsidRPr="00221FB2">
              <w:rPr>
                <w:rFonts w:ascii="Calibri" w:hAnsi="Calibri" w:cs="Arial"/>
                <w:szCs w:val="22"/>
              </w:rPr>
              <w:t xml:space="preserve">Liczba pobrań/uruchomień aplikacji opartych na ponownym wykorzystaniu informacji sektora publicznego i e-usług publicznych </w:t>
            </w:r>
          </w:p>
          <w:p w:rsidR="005657D8" w:rsidRPr="00911273" w:rsidRDefault="005657D8" w:rsidP="007650AC">
            <w:pPr>
              <w:spacing w:line="240" w:lineRule="auto"/>
              <w:rPr>
                <w:rFonts w:asciiTheme="minorHAnsi" w:hAnsiTheme="minorHAnsi"/>
                <w:szCs w:val="22"/>
              </w:rPr>
            </w:pPr>
          </w:p>
        </w:tc>
        <w:tc>
          <w:tcPr>
            <w:tcW w:w="684" w:type="pct"/>
          </w:tcPr>
          <w:p w:rsidR="005657D8" w:rsidRPr="00911273" w:rsidRDefault="00221FB2" w:rsidP="007650AC">
            <w:pPr>
              <w:spacing w:before="0" w:line="240" w:lineRule="auto"/>
              <w:jc w:val="both"/>
              <w:rPr>
                <w:rFonts w:asciiTheme="minorHAnsi" w:hAnsiTheme="minorHAnsi"/>
                <w:szCs w:val="22"/>
              </w:rPr>
            </w:pPr>
            <w:r>
              <w:rPr>
                <w:rFonts w:asciiTheme="minorHAnsi" w:hAnsiTheme="minorHAnsi"/>
                <w:szCs w:val="22"/>
              </w:rPr>
              <w:t>Szt.</w:t>
            </w:r>
          </w:p>
        </w:tc>
        <w:tc>
          <w:tcPr>
            <w:tcW w:w="2134" w:type="pct"/>
            <w:shd w:val="clear" w:color="auto" w:fill="auto"/>
          </w:tcPr>
          <w:p w:rsidR="000B769F" w:rsidRPr="000B769F" w:rsidRDefault="000B769F" w:rsidP="000B769F">
            <w:pPr>
              <w:autoSpaceDE w:val="0"/>
              <w:autoSpaceDN w:val="0"/>
              <w:adjustRightInd w:val="0"/>
              <w:spacing w:line="240" w:lineRule="auto"/>
              <w:jc w:val="both"/>
              <w:rPr>
                <w:rFonts w:asciiTheme="minorHAnsi" w:eastAsiaTheme="minorHAnsi" w:hAnsiTheme="minorHAnsi" w:cs="Arial"/>
                <w:szCs w:val="22"/>
                <w:lang w:eastAsia="en-US"/>
              </w:rPr>
            </w:pPr>
            <w:r w:rsidRPr="000B769F">
              <w:rPr>
                <w:rFonts w:asciiTheme="minorHAnsi" w:eastAsiaTheme="minorHAnsi" w:hAnsiTheme="minorHAnsi" w:cs="Arial"/>
                <w:szCs w:val="22"/>
                <w:lang w:eastAsia="en-US"/>
              </w:rPr>
              <w:t xml:space="preserve">Wskaźnik należy definiować jako liczbę pobrań (w przypadku aplikacji instalowanych na urządzeniu użytkownika) lub uruchomień (w przypadku aplikacji dostępnych zdalnie z serwera) aplikacji opartych na ponownym wykorzystaniu informacji sektora publicznego i e-usług publicznych w ciągu roku od daty zakończenia realizacji projektu. </w:t>
            </w:r>
          </w:p>
          <w:p w:rsidR="000B769F" w:rsidRPr="000B769F" w:rsidRDefault="000B769F" w:rsidP="000B769F">
            <w:pPr>
              <w:autoSpaceDE w:val="0"/>
              <w:autoSpaceDN w:val="0"/>
              <w:adjustRightInd w:val="0"/>
              <w:spacing w:line="240" w:lineRule="auto"/>
              <w:jc w:val="both"/>
              <w:rPr>
                <w:rFonts w:asciiTheme="minorHAnsi" w:eastAsiaTheme="minorHAnsi" w:hAnsiTheme="minorHAnsi" w:cs="Arial"/>
                <w:szCs w:val="22"/>
                <w:lang w:eastAsia="en-US"/>
              </w:rPr>
            </w:pPr>
            <w:r w:rsidRPr="000B769F">
              <w:rPr>
                <w:rFonts w:asciiTheme="minorHAnsi" w:eastAsiaTheme="minorHAnsi" w:hAnsiTheme="minorHAnsi" w:cs="Arial"/>
                <w:szCs w:val="22"/>
                <w:lang w:eastAsia="en-US"/>
              </w:rPr>
              <w:t>Jako aplikację należy rozumieć program wykonujący konkretne zadania, wyposażony w interfejs użytkownika (zarówno program instalowany na urządzeniu użytkownika - takim jak np. komputer, tablet czy telefon komórkowy; jak i program pracujący na serwerze internetowym, dostępny przez przeglądarkę www).</w:t>
            </w:r>
          </w:p>
          <w:p w:rsidR="000B769F" w:rsidRPr="000B769F" w:rsidRDefault="000B769F" w:rsidP="000B769F">
            <w:pPr>
              <w:autoSpaceDE w:val="0"/>
              <w:autoSpaceDN w:val="0"/>
              <w:adjustRightInd w:val="0"/>
              <w:spacing w:line="240" w:lineRule="auto"/>
              <w:jc w:val="both"/>
              <w:rPr>
                <w:rFonts w:asciiTheme="minorHAnsi" w:eastAsiaTheme="minorHAnsi" w:hAnsiTheme="minorHAnsi" w:cs="Arial"/>
                <w:szCs w:val="22"/>
                <w:lang w:eastAsia="en-US"/>
              </w:rPr>
            </w:pPr>
            <w:r w:rsidRPr="000B769F">
              <w:rPr>
                <w:rFonts w:asciiTheme="minorHAnsi" w:eastAsiaTheme="minorHAnsi" w:hAnsiTheme="minorHAnsi" w:cs="Arial"/>
                <w:szCs w:val="22"/>
                <w:lang w:eastAsia="en-US"/>
              </w:rPr>
              <w:t xml:space="preserve">Jako ponowne wykorzystanie informacji sektora publicznego należy rozumieć </w:t>
            </w:r>
            <w:r w:rsidRPr="000B769F">
              <w:rPr>
                <w:rFonts w:asciiTheme="minorHAnsi" w:eastAsiaTheme="minorHAnsi" w:hAnsiTheme="minorHAnsi" w:cs="Arial"/>
                <w:szCs w:val="22"/>
                <w:lang w:eastAsia="en-US"/>
              </w:rPr>
              <w:lastRenderedPageBreak/>
              <w:t>„wykorzystywanie przez osoby fizyczne lub prawne dokumentów będących w posiadaniu organów sektora publicznego, do celów komercyjnych lub niekomercyjnych innych niż ich pierwotne przeznaczenie w ramach zadań publicznych, dla których te dokumenty zostały wyprodukowane" (art. 2 ust. 4, dyrektywa 2003/98/WE).</w:t>
            </w:r>
          </w:p>
          <w:p w:rsidR="00D11E26" w:rsidRPr="00D11E26" w:rsidRDefault="000B769F" w:rsidP="000B769F">
            <w:pPr>
              <w:autoSpaceDE w:val="0"/>
              <w:autoSpaceDN w:val="0"/>
              <w:adjustRightInd w:val="0"/>
              <w:spacing w:line="240" w:lineRule="auto"/>
              <w:jc w:val="both"/>
              <w:rPr>
                <w:rFonts w:asciiTheme="minorHAnsi" w:eastAsiaTheme="minorHAnsi" w:hAnsiTheme="minorHAnsi" w:cs="Arial"/>
                <w:szCs w:val="22"/>
                <w:lang w:eastAsia="en-US"/>
              </w:rPr>
            </w:pPr>
            <w:r w:rsidRPr="000B769F">
              <w:rPr>
                <w:rFonts w:asciiTheme="minorHAnsi" w:eastAsiaTheme="minorHAnsi" w:hAnsiTheme="minorHAnsi" w:cs="Arial"/>
                <w:szCs w:val="22"/>
                <w:lang w:eastAsia="en-US"/>
              </w:rPr>
              <w:t>W ramach wskaźnika liczone są aplikacje wytworzone przez podmioty niepubliczne, przetwarzające informacje pochodzące od podmiotów publicznych.</w:t>
            </w:r>
          </w:p>
        </w:tc>
        <w:tc>
          <w:tcPr>
            <w:tcW w:w="1023" w:type="pct"/>
          </w:tcPr>
          <w:p w:rsidR="005657D8" w:rsidRPr="00911273" w:rsidRDefault="00221FB2" w:rsidP="007650AC">
            <w:pPr>
              <w:spacing w:line="240" w:lineRule="auto"/>
              <w:jc w:val="both"/>
              <w:rPr>
                <w:rFonts w:asciiTheme="minorHAnsi" w:hAnsiTheme="minorHAnsi"/>
                <w:szCs w:val="22"/>
                <w:lang w:val="en-US"/>
              </w:rPr>
            </w:pPr>
            <w:r>
              <w:rPr>
                <w:rFonts w:asciiTheme="minorHAnsi" w:hAnsiTheme="minorHAnsi"/>
                <w:szCs w:val="22"/>
              </w:rPr>
              <w:lastRenderedPageBreak/>
              <w:t>SZOOP</w:t>
            </w:r>
          </w:p>
        </w:tc>
      </w:tr>
      <w:tr w:rsidR="00C40E8D" w:rsidRPr="00911273" w:rsidTr="008E5605">
        <w:trPr>
          <w:trHeight w:val="20"/>
          <w:jc w:val="center"/>
        </w:trPr>
        <w:tc>
          <w:tcPr>
            <w:tcW w:w="1159" w:type="pct"/>
            <w:shd w:val="clear" w:color="auto" w:fill="auto"/>
          </w:tcPr>
          <w:p w:rsidR="00C40E8D" w:rsidRPr="00911273" w:rsidRDefault="00221FB2" w:rsidP="007650AC">
            <w:pPr>
              <w:pStyle w:val="Default"/>
              <w:rPr>
                <w:rFonts w:asciiTheme="minorHAnsi" w:hAnsiTheme="minorHAnsi" w:cs="ArialNarrow"/>
                <w:sz w:val="22"/>
                <w:szCs w:val="22"/>
              </w:rPr>
            </w:pPr>
            <w:r w:rsidRPr="00833777">
              <w:rPr>
                <w:rFonts w:ascii="Calibri" w:hAnsi="Calibri" w:cs="Arial"/>
                <w:sz w:val="22"/>
                <w:szCs w:val="22"/>
              </w:rPr>
              <w:lastRenderedPageBreak/>
              <w:t>Liczba pobrań/</w:t>
            </w:r>
            <w:proofErr w:type="spellStart"/>
            <w:r w:rsidRPr="00833777">
              <w:rPr>
                <w:rFonts w:ascii="Calibri" w:hAnsi="Calibri" w:cs="Arial"/>
                <w:sz w:val="22"/>
                <w:szCs w:val="22"/>
              </w:rPr>
              <w:t>odtworzeń</w:t>
            </w:r>
            <w:proofErr w:type="spellEnd"/>
            <w:r w:rsidRPr="00833777">
              <w:rPr>
                <w:rFonts w:ascii="Calibri" w:hAnsi="Calibri" w:cs="Arial"/>
                <w:sz w:val="22"/>
                <w:szCs w:val="22"/>
              </w:rPr>
              <w:t xml:space="preserve"> dokumentów zawierających informacje sektora publicznego </w:t>
            </w:r>
          </w:p>
        </w:tc>
        <w:tc>
          <w:tcPr>
            <w:tcW w:w="684" w:type="pct"/>
          </w:tcPr>
          <w:p w:rsidR="00C40E8D" w:rsidRPr="00911273" w:rsidRDefault="00221FB2" w:rsidP="007650AC">
            <w:pPr>
              <w:spacing w:before="0" w:line="240" w:lineRule="auto"/>
              <w:rPr>
                <w:rFonts w:asciiTheme="minorHAnsi" w:hAnsiTheme="minorHAnsi" w:cs="ArialNarrow"/>
                <w:szCs w:val="22"/>
              </w:rPr>
            </w:pPr>
            <w:r>
              <w:rPr>
                <w:rFonts w:asciiTheme="minorHAnsi" w:hAnsiTheme="minorHAnsi" w:cs="ArialNarrow"/>
                <w:szCs w:val="22"/>
              </w:rPr>
              <w:t>Szt.</w:t>
            </w:r>
          </w:p>
        </w:tc>
        <w:tc>
          <w:tcPr>
            <w:tcW w:w="2134" w:type="pct"/>
            <w:shd w:val="clear" w:color="auto" w:fill="auto"/>
            <w:vAlign w:val="center"/>
          </w:tcPr>
          <w:p w:rsidR="000B769F" w:rsidRPr="000B769F" w:rsidRDefault="000B769F" w:rsidP="000B769F">
            <w:pPr>
              <w:spacing w:line="240" w:lineRule="auto"/>
              <w:jc w:val="both"/>
              <w:rPr>
                <w:rFonts w:asciiTheme="minorHAnsi" w:hAnsiTheme="minorHAnsi"/>
                <w:szCs w:val="22"/>
              </w:rPr>
            </w:pPr>
            <w:r w:rsidRPr="000B769F">
              <w:rPr>
                <w:rFonts w:asciiTheme="minorHAnsi" w:hAnsiTheme="minorHAnsi"/>
                <w:szCs w:val="22"/>
              </w:rPr>
              <w:t xml:space="preserve">Wskaźnik należy definiować jako liczbę pobranych lub odtworzonych za pośrednictwem </w:t>
            </w:r>
            <w:proofErr w:type="spellStart"/>
            <w:r w:rsidRPr="000B769F">
              <w:rPr>
                <w:rFonts w:asciiTheme="minorHAnsi" w:hAnsiTheme="minorHAnsi"/>
                <w:szCs w:val="22"/>
              </w:rPr>
              <w:t>internetu</w:t>
            </w:r>
            <w:proofErr w:type="spellEnd"/>
            <w:r w:rsidRPr="000B769F">
              <w:rPr>
                <w:rFonts w:asciiTheme="minorHAnsi" w:hAnsiTheme="minorHAnsi"/>
                <w:szCs w:val="22"/>
              </w:rPr>
              <w:t xml:space="preserve"> dokumentów, w okresie roku od zakończenia realizacji projektu. "Dokument" oznacza (na podstawie dyrektywy 2003/98/WE) jakąkolwiek treść niezależnie od zastosowanego nośnika (zapisaną na papierze lub zapisaną w formie elektronicznej lub zarejestrowaną w formie dźwiękowej, wizualnej albo audiowizualnej). </w:t>
            </w:r>
          </w:p>
          <w:p w:rsidR="000B769F" w:rsidRPr="000B769F" w:rsidRDefault="00B62340" w:rsidP="000B769F">
            <w:pPr>
              <w:spacing w:line="240" w:lineRule="auto"/>
              <w:jc w:val="both"/>
              <w:rPr>
                <w:rFonts w:asciiTheme="minorHAnsi" w:hAnsiTheme="minorHAnsi"/>
                <w:szCs w:val="22"/>
              </w:rPr>
            </w:pPr>
            <w:r>
              <w:rPr>
                <w:rFonts w:asciiTheme="minorHAnsi" w:hAnsiTheme="minorHAnsi"/>
                <w:szCs w:val="22"/>
              </w:rPr>
              <w:t>Przez</w:t>
            </w:r>
            <w:r w:rsidR="000B769F" w:rsidRPr="000B769F">
              <w:rPr>
                <w:rFonts w:asciiTheme="minorHAnsi" w:hAnsiTheme="minorHAnsi"/>
                <w:szCs w:val="22"/>
              </w:rPr>
              <w:t xml:space="preserve"> informacje sektora publicznego należy rozumieć: </w:t>
            </w:r>
          </w:p>
          <w:p w:rsidR="000B769F" w:rsidRPr="000B769F" w:rsidRDefault="000B769F" w:rsidP="000B769F">
            <w:pPr>
              <w:spacing w:line="240" w:lineRule="auto"/>
              <w:jc w:val="both"/>
              <w:rPr>
                <w:rFonts w:asciiTheme="minorHAnsi" w:hAnsiTheme="minorHAnsi"/>
                <w:szCs w:val="22"/>
              </w:rPr>
            </w:pPr>
            <w:r w:rsidRPr="000B769F">
              <w:rPr>
                <w:rFonts w:asciiTheme="minorHAnsi" w:hAnsiTheme="minorHAnsi"/>
                <w:szCs w:val="22"/>
              </w:rPr>
              <w:t xml:space="preserve">- informację publiczną w rozumieniu ustawy z dnia 6 września 2001 r. o dostępie do informacji publicznej, </w:t>
            </w:r>
          </w:p>
          <w:p w:rsidR="000B769F" w:rsidRPr="000B769F" w:rsidRDefault="000B769F" w:rsidP="000B769F">
            <w:pPr>
              <w:spacing w:before="0" w:line="240" w:lineRule="auto"/>
              <w:jc w:val="both"/>
              <w:rPr>
                <w:rFonts w:asciiTheme="minorHAnsi" w:hAnsiTheme="minorHAnsi"/>
                <w:szCs w:val="22"/>
              </w:rPr>
            </w:pPr>
            <w:r w:rsidRPr="000B769F">
              <w:rPr>
                <w:rFonts w:asciiTheme="minorHAnsi" w:hAnsiTheme="minorHAnsi"/>
                <w:szCs w:val="22"/>
              </w:rPr>
              <w:t>- informację sektora publicznego w rozumieniu dyrektywy 2003/98/WE dnia 17 listopada  2003  r. w sprawie ponownego wykorzystywania informacji sektora publicznego (w brzmieniu zmienionym przez dyrektywę 2013/37/UE zmieniającą dyrektywę 2003/98/WE dnia 17 listopada  2003  r.  w sprawie ponownego wykorzystywania informacji sektora publicznego),</w:t>
            </w:r>
          </w:p>
          <w:p w:rsidR="000B769F" w:rsidRPr="000B769F" w:rsidRDefault="000B769F" w:rsidP="000B769F">
            <w:pPr>
              <w:spacing w:before="0" w:line="240" w:lineRule="auto"/>
              <w:jc w:val="both"/>
              <w:rPr>
                <w:rFonts w:asciiTheme="minorHAnsi" w:hAnsiTheme="minorHAnsi"/>
                <w:szCs w:val="22"/>
              </w:rPr>
            </w:pPr>
            <w:r w:rsidRPr="000B769F">
              <w:rPr>
                <w:rFonts w:asciiTheme="minorHAnsi" w:hAnsiTheme="minorHAnsi"/>
                <w:szCs w:val="22"/>
              </w:rPr>
              <w:t>- zasoby audiowizualne, pod warunkiem ich udostępniania do ponownego wykorzystywania,</w:t>
            </w:r>
          </w:p>
          <w:p w:rsidR="000B769F" w:rsidRPr="000B769F" w:rsidRDefault="000B769F" w:rsidP="000B769F">
            <w:pPr>
              <w:spacing w:before="0" w:line="240" w:lineRule="auto"/>
              <w:jc w:val="both"/>
              <w:rPr>
                <w:rFonts w:asciiTheme="minorHAnsi" w:hAnsiTheme="minorHAnsi"/>
                <w:szCs w:val="22"/>
              </w:rPr>
            </w:pPr>
            <w:r w:rsidRPr="000B769F">
              <w:rPr>
                <w:rFonts w:asciiTheme="minorHAnsi" w:hAnsiTheme="minorHAnsi"/>
                <w:szCs w:val="22"/>
              </w:rPr>
              <w:t>- zasoby archiwalne, pod warunkiem ich udostępnienia do ponownego wykorzystania,</w:t>
            </w:r>
          </w:p>
          <w:p w:rsidR="000B769F" w:rsidRPr="000B769F" w:rsidRDefault="000B769F" w:rsidP="000B769F">
            <w:pPr>
              <w:spacing w:before="0" w:line="240" w:lineRule="auto"/>
              <w:jc w:val="both"/>
              <w:rPr>
                <w:rFonts w:asciiTheme="minorHAnsi" w:hAnsiTheme="minorHAnsi"/>
                <w:szCs w:val="22"/>
              </w:rPr>
            </w:pPr>
            <w:r w:rsidRPr="000B769F">
              <w:rPr>
                <w:rFonts w:asciiTheme="minorHAnsi" w:hAnsiTheme="minorHAnsi"/>
                <w:szCs w:val="22"/>
              </w:rPr>
              <w:t xml:space="preserve">- zasoby kultury, pod warunkiem ich </w:t>
            </w:r>
            <w:r w:rsidRPr="000B769F">
              <w:rPr>
                <w:rFonts w:asciiTheme="minorHAnsi" w:hAnsiTheme="minorHAnsi"/>
                <w:szCs w:val="22"/>
              </w:rPr>
              <w:lastRenderedPageBreak/>
              <w:t>udostepnienia do ponownego wykorzystania,</w:t>
            </w:r>
          </w:p>
          <w:p w:rsidR="00C40E8D" w:rsidRDefault="000B769F" w:rsidP="000B769F">
            <w:pPr>
              <w:spacing w:before="0" w:line="240" w:lineRule="auto"/>
              <w:jc w:val="both"/>
              <w:rPr>
                <w:rFonts w:asciiTheme="minorHAnsi" w:hAnsiTheme="minorHAnsi"/>
                <w:szCs w:val="22"/>
              </w:rPr>
            </w:pPr>
            <w:r w:rsidRPr="000B769F">
              <w:rPr>
                <w:rFonts w:asciiTheme="minorHAnsi" w:hAnsiTheme="minorHAnsi"/>
                <w:szCs w:val="22"/>
              </w:rPr>
              <w:t>- zasoby nauki, pod warunkiem ich udostępniania do ponownego wykorzystywania.</w:t>
            </w:r>
          </w:p>
          <w:p w:rsidR="000B769F" w:rsidRDefault="000B769F" w:rsidP="000B769F">
            <w:pPr>
              <w:spacing w:before="0" w:line="240" w:lineRule="auto"/>
              <w:jc w:val="both"/>
              <w:rPr>
                <w:rFonts w:asciiTheme="minorHAnsi" w:hAnsiTheme="minorHAnsi"/>
                <w:szCs w:val="22"/>
              </w:rPr>
            </w:pPr>
          </w:p>
          <w:p w:rsidR="000B769F" w:rsidRDefault="000B769F" w:rsidP="005D6A14">
            <w:pPr>
              <w:spacing w:before="0" w:line="240" w:lineRule="auto"/>
              <w:jc w:val="both"/>
              <w:rPr>
                <w:rFonts w:asciiTheme="minorHAnsi" w:hAnsiTheme="minorHAnsi"/>
                <w:szCs w:val="22"/>
              </w:rPr>
            </w:pPr>
            <w:r w:rsidRPr="000B769F">
              <w:rPr>
                <w:rFonts w:asciiTheme="minorHAnsi" w:hAnsiTheme="minorHAnsi"/>
                <w:szCs w:val="22"/>
              </w:rPr>
              <w:t>Metoda pomiaru</w:t>
            </w:r>
            <w:r>
              <w:rPr>
                <w:rFonts w:asciiTheme="minorHAnsi" w:hAnsiTheme="minorHAnsi"/>
                <w:szCs w:val="22"/>
              </w:rPr>
              <w:t>:</w:t>
            </w:r>
            <w:r w:rsidRPr="000B769F">
              <w:rPr>
                <w:rFonts w:asciiTheme="minorHAnsi" w:hAnsiTheme="minorHAnsi"/>
                <w:szCs w:val="22"/>
              </w:rPr>
              <w:t xml:space="preserve"> </w:t>
            </w:r>
            <w:r w:rsidR="005D6A14" w:rsidRPr="005D6A14">
              <w:rPr>
                <w:rFonts w:asciiTheme="minorHAnsi" w:hAnsiTheme="minorHAnsi"/>
                <w:szCs w:val="22"/>
              </w:rPr>
              <w:t xml:space="preserve">Jeden utwór w rozumieniu ustawy o prawie autorskim i prawach pokrewnych powinien być zliczany jako jeden dokument, niezależnie od liczby części (plików), w których został udostępniony. </w:t>
            </w:r>
          </w:p>
          <w:p w:rsidR="008E5605" w:rsidRPr="00911273" w:rsidRDefault="008E5605" w:rsidP="005D6A14">
            <w:pPr>
              <w:spacing w:before="0" w:line="240" w:lineRule="auto"/>
              <w:jc w:val="both"/>
              <w:rPr>
                <w:rFonts w:asciiTheme="minorHAnsi" w:hAnsiTheme="minorHAnsi"/>
                <w:szCs w:val="22"/>
              </w:rPr>
            </w:pPr>
          </w:p>
        </w:tc>
        <w:tc>
          <w:tcPr>
            <w:tcW w:w="1023" w:type="pct"/>
          </w:tcPr>
          <w:p w:rsidR="00C40E8D" w:rsidRPr="00911273" w:rsidRDefault="00221FB2" w:rsidP="007650AC">
            <w:pPr>
              <w:spacing w:line="240" w:lineRule="auto"/>
              <w:jc w:val="both"/>
              <w:rPr>
                <w:rFonts w:asciiTheme="minorHAnsi" w:hAnsiTheme="minorHAnsi"/>
                <w:szCs w:val="22"/>
              </w:rPr>
            </w:pPr>
            <w:r>
              <w:rPr>
                <w:rFonts w:asciiTheme="minorHAnsi" w:hAnsiTheme="minorHAnsi"/>
                <w:szCs w:val="22"/>
              </w:rPr>
              <w:lastRenderedPageBreak/>
              <w:t>SZOOP</w:t>
            </w:r>
          </w:p>
        </w:tc>
      </w:tr>
      <w:tr w:rsidR="003C55C7" w:rsidRPr="00911273" w:rsidTr="006527A1">
        <w:trPr>
          <w:trHeight w:val="7216"/>
          <w:jc w:val="center"/>
        </w:trPr>
        <w:tc>
          <w:tcPr>
            <w:tcW w:w="1159" w:type="pct"/>
            <w:tcBorders>
              <w:top w:val="single" w:sz="6" w:space="0" w:color="000000" w:themeColor="text1"/>
              <w:left w:val="single" w:sz="8" w:space="0" w:color="000000" w:themeColor="text1"/>
              <w:bottom w:val="single" w:sz="4" w:space="0" w:color="auto"/>
              <w:right w:val="single" w:sz="6" w:space="0" w:color="000000" w:themeColor="text1"/>
            </w:tcBorders>
            <w:shd w:val="clear" w:color="auto" w:fill="auto"/>
          </w:tcPr>
          <w:p w:rsidR="003C55C7" w:rsidRDefault="003C55C7" w:rsidP="007650AC">
            <w:pPr>
              <w:pStyle w:val="Default"/>
              <w:rPr>
                <w:rFonts w:asciiTheme="minorHAnsi" w:hAnsiTheme="minorHAnsi" w:cs="ArialNarrow"/>
                <w:sz w:val="22"/>
                <w:szCs w:val="22"/>
              </w:rPr>
            </w:pPr>
            <w:r w:rsidRPr="003C55C7">
              <w:rPr>
                <w:rFonts w:asciiTheme="minorHAnsi" w:hAnsiTheme="minorHAnsi" w:cs="ArialNarrow"/>
                <w:sz w:val="22"/>
                <w:szCs w:val="22"/>
              </w:rPr>
              <w:lastRenderedPageBreak/>
              <w:t>Wzrost zatrudnienia we wspieranych podmiotach (innych niż przedsiębiorstwa)</w:t>
            </w:r>
          </w:p>
          <w:p w:rsidR="00704B1F" w:rsidRPr="003C55C7" w:rsidRDefault="00704B1F" w:rsidP="007650AC">
            <w:pPr>
              <w:pStyle w:val="Default"/>
              <w:rPr>
                <w:rFonts w:asciiTheme="minorHAnsi" w:hAnsiTheme="minorHAnsi" w:cs="ArialNarrow"/>
                <w:sz w:val="22"/>
                <w:szCs w:val="22"/>
              </w:rPr>
            </w:pPr>
            <w:r>
              <w:rPr>
                <w:rFonts w:asciiTheme="minorHAnsi" w:hAnsiTheme="minorHAnsi" w:cs="ArialNarrow"/>
                <w:sz w:val="22"/>
                <w:szCs w:val="22"/>
              </w:rPr>
              <w:t>O/K/M</w:t>
            </w:r>
          </w:p>
        </w:tc>
        <w:tc>
          <w:tcPr>
            <w:tcW w:w="684" w:type="pct"/>
            <w:tcBorders>
              <w:top w:val="single" w:sz="6" w:space="0" w:color="000000" w:themeColor="text1"/>
              <w:left w:val="single" w:sz="6" w:space="0" w:color="000000" w:themeColor="text1"/>
              <w:bottom w:val="single" w:sz="4" w:space="0" w:color="auto"/>
              <w:right w:val="single" w:sz="6" w:space="0" w:color="000000" w:themeColor="text1"/>
            </w:tcBorders>
          </w:tcPr>
          <w:p w:rsidR="003C55C7" w:rsidRPr="003C55C7" w:rsidRDefault="003C55C7" w:rsidP="007650AC">
            <w:pPr>
              <w:spacing w:before="0" w:line="240" w:lineRule="auto"/>
              <w:rPr>
                <w:rFonts w:asciiTheme="minorHAnsi" w:hAnsiTheme="minorHAnsi" w:cs="ArialNarrow"/>
                <w:szCs w:val="22"/>
              </w:rPr>
            </w:pPr>
            <w:r w:rsidRPr="003C55C7">
              <w:rPr>
                <w:rFonts w:asciiTheme="minorHAnsi" w:hAnsiTheme="minorHAnsi" w:cs="ArialNarrow"/>
                <w:szCs w:val="22"/>
              </w:rPr>
              <w:t>EPC</w:t>
            </w:r>
          </w:p>
        </w:tc>
        <w:tc>
          <w:tcPr>
            <w:tcW w:w="2134" w:type="pct"/>
            <w:tcBorders>
              <w:top w:val="single" w:sz="6" w:space="0" w:color="000000" w:themeColor="text1"/>
              <w:left w:val="single" w:sz="6" w:space="0" w:color="000000" w:themeColor="text1"/>
              <w:bottom w:val="single" w:sz="4" w:space="0" w:color="auto"/>
              <w:right w:val="single" w:sz="6" w:space="0" w:color="000000" w:themeColor="text1"/>
            </w:tcBorders>
            <w:shd w:val="clear" w:color="auto" w:fill="auto"/>
            <w:vAlign w:val="center"/>
          </w:tcPr>
          <w:p w:rsidR="008E5605" w:rsidRPr="008E5605" w:rsidRDefault="008E5605" w:rsidP="008E5605">
            <w:pPr>
              <w:spacing w:line="240" w:lineRule="auto"/>
              <w:jc w:val="both"/>
              <w:rPr>
                <w:rFonts w:asciiTheme="minorHAnsi" w:hAnsiTheme="minorHAnsi"/>
                <w:szCs w:val="22"/>
                <w:lang w:val="en-US"/>
              </w:rPr>
            </w:pPr>
            <w:r w:rsidRPr="008E5605">
              <w:rPr>
                <w:rFonts w:asciiTheme="minorHAnsi" w:hAnsiTheme="minorHAnsi"/>
                <w:szCs w:val="22"/>
                <w:lang w:val="en-US"/>
              </w:rPr>
              <w:t xml:space="preserve">Gross new working positions in supported enterprises in full time equivalents (FTE). </w:t>
            </w:r>
          </w:p>
          <w:p w:rsidR="008E5605" w:rsidRPr="008E5605" w:rsidRDefault="008E5605" w:rsidP="008E5605">
            <w:pPr>
              <w:spacing w:line="240" w:lineRule="auto"/>
              <w:jc w:val="both"/>
              <w:rPr>
                <w:rFonts w:asciiTheme="minorHAnsi" w:hAnsiTheme="minorHAnsi"/>
                <w:szCs w:val="22"/>
                <w:lang w:val="en-US"/>
              </w:rPr>
            </w:pPr>
            <w:r w:rsidRPr="008E5605">
              <w:rPr>
                <w:rFonts w:asciiTheme="minorHAnsi" w:hAnsiTheme="minorHAnsi"/>
                <w:szCs w:val="22"/>
                <w:lang w:val="en-US"/>
              </w:rPr>
              <w:t>Essentially a 'before-after' indicator which captures the part of the employment increase that  is direct consequence of project completion (workers employed to implement the project are not counted). The positions needs to be filled (vacant posts are not counted) and increase the total number of jobs in the enterprise. If total employment in the enterprise does not increase, the value is zero – it is regarded as realignment, not increase. Safeguarded etc. jobs are not included.</w:t>
            </w:r>
          </w:p>
          <w:p w:rsidR="008E5605" w:rsidRPr="008E5605" w:rsidRDefault="008E5605" w:rsidP="008E5605">
            <w:pPr>
              <w:spacing w:before="120" w:line="240" w:lineRule="auto"/>
              <w:jc w:val="both"/>
              <w:rPr>
                <w:rFonts w:asciiTheme="minorHAnsi" w:hAnsiTheme="minorHAnsi"/>
                <w:szCs w:val="22"/>
                <w:lang w:val="en-US"/>
              </w:rPr>
            </w:pPr>
            <w:r w:rsidRPr="008E5605">
              <w:rPr>
                <w:rFonts w:asciiTheme="minorHAnsi" w:hAnsiTheme="minorHAnsi"/>
                <w:szCs w:val="22"/>
                <w:lang w:val="en-US"/>
              </w:rPr>
              <w:t xml:space="preserve">Gross: Not counting the origin of the jobholder as long as it directly contributes to the increase of total jobs in the </w:t>
            </w:r>
            <w:proofErr w:type="spellStart"/>
            <w:r w:rsidRPr="008E5605">
              <w:rPr>
                <w:rFonts w:asciiTheme="minorHAnsi" w:hAnsiTheme="minorHAnsi"/>
                <w:szCs w:val="22"/>
                <w:lang w:val="en-US"/>
              </w:rPr>
              <w:t>organisation</w:t>
            </w:r>
            <w:proofErr w:type="spellEnd"/>
            <w:r w:rsidRPr="008E5605">
              <w:rPr>
                <w:rFonts w:asciiTheme="minorHAnsi" w:hAnsiTheme="minorHAnsi"/>
                <w:szCs w:val="22"/>
                <w:lang w:val="en-US"/>
              </w:rPr>
              <w:t xml:space="preserve">. The indicator should be used if the employment increase can plausibly be attributed to the support. </w:t>
            </w:r>
          </w:p>
          <w:p w:rsidR="008E5605" w:rsidRPr="008E5605" w:rsidRDefault="008E5605" w:rsidP="008E5605">
            <w:pPr>
              <w:spacing w:before="120" w:line="240" w:lineRule="auto"/>
              <w:jc w:val="both"/>
              <w:rPr>
                <w:rFonts w:asciiTheme="minorHAnsi" w:hAnsiTheme="minorHAnsi"/>
                <w:szCs w:val="22"/>
                <w:lang w:val="en-US"/>
              </w:rPr>
            </w:pPr>
            <w:r w:rsidRPr="008E5605">
              <w:rPr>
                <w:rFonts w:asciiTheme="minorHAnsi" w:hAnsiTheme="minorHAnsi"/>
                <w:szCs w:val="22"/>
                <w:lang w:val="en-US"/>
              </w:rPr>
              <w:t xml:space="preserve">Full-time equivalent: Jobs can be full time, </w:t>
            </w:r>
            <w:proofErr w:type="spellStart"/>
            <w:r w:rsidRPr="008E5605">
              <w:rPr>
                <w:rFonts w:asciiTheme="minorHAnsi" w:hAnsiTheme="minorHAnsi"/>
                <w:szCs w:val="22"/>
                <w:lang w:val="en-US"/>
              </w:rPr>
              <w:t>parttime</w:t>
            </w:r>
            <w:proofErr w:type="spellEnd"/>
            <w:r w:rsidRPr="008E5605">
              <w:rPr>
                <w:rFonts w:asciiTheme="minorHAnsi" w:hAnsiTheme="minorHAnsi"/>
                <w:szCs w:val="22"/>
                <w:lang w:val="en-US"/>
              </w:rPr>
              <w:t xml:space="preserve"> or seasonal. Seasonal and part time jobs are to be converted to FTE using ILO/statistical/other standards. </w:t>
            </w:r>
          </w:p>
          <w:p w:rsidR="008E5605" w:rsidRPr="008E5605" w:rsidRDefault="008E5605" w:rsidP="008E5605">
            <w:pPr>
              <w:spacing w:line="240" w:lineRule="auto"/>
              <w:jc w:val="both"/>
              <w:rPr>
                <w:rFonts w:asciiTheme="minorHAnsi" w:hAnsiTheme="minorHAnsi"/>
                <w:i/>
              </w:rPr>
            </w:pPr>
            <w:r w:rsidRPr="008E5605">
              <w:rPr>
                <w:rFonts w:asciiTheme="minorHAnsi" w:hAnsiTheme="minorHAnsi"/>
                <w:i/>
                <w:szCs w:val="22"/>
              </w:rPr>
              <w:t xml:space="preserve">Tłumaczenie robocze: </w:t>
            </w:r>
            <w:r w:rsidRPr="008E5605">
              <w:rPr>
                <w:rFonts w:asciiTheme="minorHAnsi" w:hAnsiTheme="minorHAnsi"/>
                <w:i/>
              </w:rPr>
              <w:t xml:space="preserve">Nowe miejsca pracy brutto we wspartych  przedsiębiorstwach wyrażone w ekwiwalencie pełnego czasu pracy (EPC). </w:t>
            </w:r>
          </w:p>
          <w:p w:rsidR="008E5605" w:rsidRPr="008E5605" w:rsidRDefault="008E5605" w:rsidP="008E5605">
            <w:pPr>
              <w:spacing w:line="240" w:lineRule="auto"/>
              <w:jc w:val="both"/>
              <w:rPr>
                <w:rFonts w:asciiTheme="minorHAnsi" w:hAnsiTheme="minorHAnsi"/>
                <w:i/>
              </w:rPr>
            </w:pPr>
            <w:r w:rsidRPr="008E5605">
              <w:rPr>
                <w:rFonts w:asciiTheme="minorHAnsi" w:hAnsiTheme="minorHAnsi"/>
                <w:i/>
              </w:rPr>
              <w:t xml:space="preserve">Wskaźnik ukazuje zmianę "przed-po" </w:t>
            </w:r>
            <w:r w:rsidRPr="008E5605">
              <w:rPr>
                <w:rFonts w:asciiTheme="minorHAnsi" w:hAnsiTheme="minorHAnsi"/>
                <w:i/>
              </w:rPr>
              <w:br/>
              <w:t xml:space="preserve">i obejmuje część wzrostu zatrudnienia </w:t>
            </w:r>
            <w:r w:rsidRPr="008E5605">
              <w:rPr>
                <w:rFonts w:asciiTheme="minorHAnsi" w:hAnsiTheme="minorHAnsi"/>
                <w:i/>
              </w:rPr>
              <w:br/>
              <w:t xml:space="preserve">w przedsiębiorstwie będącego bezpośrednim skutkiem zakończenia realizacji projektu (nie są wliczani </w:t>
            </w:r>
            <w:r w:rsidRPr="008E5605">
              <w:rPr>
                <w:rFonts w:asciiTheme="minorHAnsi" w:hAnsiTheme="minorHAnsi"/>
                <w:i/>
              </w:rPr>
              <w:lastRenderedPageBreak/>
              <w:t xml:space="preserve">pracownicy zatrudnieni do realizacji projektu). </w:t>
            </w:r>
          </w:p>
          <w:p w:rsidR="008E5605" w:rsidRPr="008E5605" w:rsidRDefault="008E5605" w:rsidP="008E5605">
            <w:pPr>
              <w:spacing w:after="240" w:line="240" w:lineRule="auto"/>
              <w:jc w:val="both"/>
              <w:rPr>
                <w:rFonts w:asciiTheme="minorHAnsi" w:hAnsiTheme="minorHAnsi"/>
                <w:i/>
              </w:rPr>
            </w:pPr>
            <w:r w:rsidRPr="008E5605">
              <w:rPr>
                <w:rFonts w:asciiTheme="minorHAnsi" w:hAnsiTheme="minorHAnsi"/>
                <w:i/>
              </w:rPr>
              <w:t xml:space="preserve">Uwzględnia się obsadzone miejsca pracy (wakaty nie są liczone), które zwiększają łączną liczbę miejsc pracy </w:t>
            </w:r>
            <w:r w:rsidRPr="008E5605">
              <w:rPr>
                <w:rFonts w:asciiTheme="minorHAnsi" w:hAnsiTheme="minorHAnsi"/>
                <w:i/>
              </w:rPr>
              <w:br/>
              <w:t xml:space="preserve">w przedsiębiorstwie. Brak wzrostu </w:t>
            </w:r>
            <w:r w:rsidRPr="008E5605">
              <w:rPr>
                <w:rFonts w:asciiTheme="minorHAnsi" w:hAnsiTheme="minorHAnsi"/>
                <w:i/>
              </w:rPr>
              <w:br/>
              <w:t xml:space="preserve">w całkowitym zatrudnieniu </w:t>
            </w:r>
            <w:r w:rsidRPr="008E5605">
              <w:rPr>
                <w:rFonts w:asciiTheme="minorHAnsi" w:hAnsiTheme="minorHAnsi"/>
                <w:i/>
              </w:rPr>
              <w:br/>
              <w:t>w przedsiębiorstwie oznacza, że wartość wskaźnika jest równa zero, co traktuje się jako wyrównanie miejsc pracy, a nie wzrost. Nie wlicza się miejsc pracy, np. utrzymanych dzięki realizacji projektu.</w:t>
            </w:r>
          </w:p>
          <w:p w:rsidR="008E5605" w:rsidRPr="008E5605" w:rsidRDefault="008E5605" w:rsidP="008E5605">
            <w:pPr>
              <w:spacing w:after="240" w:line="240" w:lineRule="auto"/>
              <w:jc w:val="both"/>
              <w:rPr>
                <w:rFonts w:asciiTheme="minorHAnsi" w:hAnsiTheme="minorHAnsi"/>
                <w:i/>
              </w:rPr>
            </w:pPr>
            <w:r w:rsidRPr="008E5605">
              <w:rPr>
                <w:rFonts w:asciiTheme="minorHAnsi" w:hAnsiTheme="minorHAnsi"/>
                <w:i/>
              </w:rPr>
              <w:t xml:space="preserve">Brutto: Nie uwzględniamy miejsca pracy otrzymanego w wyniku zmian wewnątrz przedsiębiorstwa, dopóki nie przyczyni się to do całkowitego wzrostu liczby miejsc pracy w przedsiębiorstwie. Wskaźnik powinien być zastosowany, jeżeli wzrost zatrudnienia może być wiarygodnie przypisany do wsparcia </w:t>
            </w:r>
            <w:r w:rsidRPr="008E5605">
              <w:rPr>
                <w:rFonts w:asciiTheme="minorHAnsi" w:hAnsiTheme="minorHAnsi"/>
                <w:i/>
              </w:rPr>
              <w:br/>
              <w:t>w ramach projektu.</w:t>
            </w:r>
          </w:p>
          <w:p w:rsidR="008E5605" w:rsidRPr="008E5605" w:rsidRDefault="008E5605" w:rsidP="008E5605">
            <w:pPr>
              <w:spacing w:line="240" w:lineRule="auto"/>
              <w:jc w:val="both"/>
              <w:rPr>
                <w:rFonts w:asciiTheme="minorHAnsi" w:hAnsiTheme="minorHAnsi"/>
                <w:i/>
              </w:rPr>
            </w:pPr>
            <w:r w:rsidRPr="008E5605">
              <w:rPr>
                <w:rFonts w:asciiTheme="minorHAnsi" w:hAnsiTheme="minorHAnsi"/>
                <w:i/>
              </w:rPr>
              <w:t xml:space="preserve">Ekwiwalent pełnego czasu pracy: miejsca pracy mogą być pełnoetatowe, na część etatu lub sezonowe, przy czym etaty częściowe podlegają sumowaniu lecz nie są zaokrąglane do pełnych jednostek. Zatrudnienie sezonowe i na część etatu przelicza się na EPC </w:t>
            </w:r>
            <w:r w:rsidRPr="008E5605">
              <w:rPr>
                <w:rFonts w:asciiTheme="minorHAnsi" w:hAnsiTheme="minorHAnsi"/>
                <w:i/>
              </w:rPr>
              <w:br/>
              <w:t xml:space="preserve">z wykorzystaniem standardów ILO (Międzynarodowa Organizacja Pracy)/ statystycznych/innych. </w:t>
            </w:r>
          </w:p>
          <w:p w:rsidR="00F22449" w:rsidRPr="00F22449" w:rsidRDefault="008E5605" w:rsidP="008E5605">
            <w:pPr>
              <w:spacing w:line="240" w:lineRule="auto"/>
              <w:jc w:val="both"/>
              <w:rPr>
                <w:rFonts w:asciiTheme="minorHAnsi" w:hAnsiTheme="minorHAnsi"/>
                <w:color w:val="333399"/>
                <w:szCs w:val="22"/>
              </w:rPr>
            </w:pPr>
            <w:r w:rsidRPr="008E5605">
              <w:rPr>
                <w:rFonts w:asciiTheme="minorHAnsi" w:eastAsiaTheme="minorHAnsi" w:hAnsiTheme="minorHAnsi" w:cstheme="minorBidi"/>
                <w:b/>
                <w:sz w:val="23"/>
                <w:szCs w:val="23"/>
                <w:lang w:eastAsia="en-US"/>
              </w:rPr>
              <w:t>Definicja jak wyżej w odniesieniu do podmiotów innych niż przedsiębiorstwa.</w:t>
            </w:r>
          </w:p>
        </w:tc>
        <w:tc>
          <w:tcPr>
            <w:tcW w:w="1023" w:type="pct"/>
            <w:tcBorders>
              <w:top w:val="single" w:sz="6" w:space="0" w:color="000000" w:themeColor="text1"/>
              <w:left w:val="single" w:sz="6" w:space="0" w:color="000000" w:themeColor="text1"/>
              <w:bottom w:val="single" w:sz="4" w:space="0" w:color="auto"/>
              <w:right w:val="single" w:sz="8" w:space="0" w:color="000000" w:themeColor="text1"/>
            </w:tcBorders>
          </w:tcPr>
          <w:p w:rsidR="003C55C7" w:rsidRPr="003C55C7" w:rsidRDefault="003C55C7" w:rsidP="007650AC">
            <w:pPr>
              <w:spacing w:line="240" w:lineRule="auto"/>
              <w:jc w:val="both"/>
              <w:rPr>
                <w:rFonts w:asciiTheme="minorHAnsi" w:hAnsiTheme="minorHAnsi"/>
                <w:szCs w:val="22"/>
              </w:rPr>
            </w:pPr>
            <w:r w:rsidRPr="003C55C7">
              <w:rPr>
                <w:rFonts w:asciiTheme="minorHAnsi" w:hAnsiTheme="minorHAnsi"/>
                <w:szCs w:val="22"/>
              </w:rPr>
              <w:lastRenderedPageBreak/>
              <w:t>horyzontalny</w:t>
            </w:r>
          </w:p>
        </w:tc>
      </w:tr>
      <w:tr w:rsidR="003C55C7" w:rsidRPr="00911273" w:rsidTr="008E5605">
        <w:trPr>
          <w:cantSplit/>
          <w:trHeight w:val="20"/>
          <w:jc w:val="center"/>
        </w:trPr>
        <w:tc>
          <w:tcPr>
            <w:tcW w:w="1159" w:type="pct"/>
            <w:tcBorders>
              <w:top w:val="single" w:sz="6" w:space="0" w:color="000000" w:themeColor="text1"/>
              <w:left w:val="single" w:sz="8" w:space="0" w:color="000000" w:themeColor="text1"/>
              <w:bottom w:val="single" w:sz="6" w:space="0" w:color="000000" w:themeColor="text1"/>
              <w:right w:val="single" w:sz="6" w:space="0" w:color="000000" w:themeColor="text1"/>
            </w:tcBorders>
            <w:shd w:val="clear" w:color="auto" w:fill="auto"/>
          </w:tcPr>
          <w:p w:rsidR="003C55C7" w:rsidRPr="003C55C7" w:rsidRDefault="003C55C7" w:rsidP="007650AC">
            <w:pPr>
              <w:pStyle w:val="Default"/>
              <w:rPr>
                <w:rFonts w:asciiTheme="minorHAnsi" w:hAnsiTheme="minorHAnsi" w:cs="ArialNarrow"/>
                <w:sz w:val="22"/>
                <w:szCs w:val="22"/>
              </w:rPr>
            </w:pPr>
            <w:r w:rsidRPr="003C55C7">
              <w:rPr>
                <w:rFonts w:asciiTheme="minorHAnsi" w:hAnsiTheme="minorHAnsi" w:cs="ArialNarrow"/>
                <w:sz w:val="22"/>
                <w:szCs w:val="22"/>
              </w:rPr>
              <w:lastRenderedPageBreak/>
              <w:t>Liczba utrzymanych miejsc pracy</w:t>
            </w:r>
          </w:p>
        </w:tc>
        <w:tc>
          <w:tcPr>
            <w:tcW w:w="684" w:type="pct"/>
            <w:tcBorders>
              <w:top w:val="single" w:sz="6" w:space="0" w:color="000000" w:themeColor="text1"/>
              <w:left w:val="single" w:sz="6" w:space="0" w:color="000000" w:themeColor="text1"/>
              <w:bottom w:val="single" w:sz="6" w:space="0" w:color="000000" w:themeColor="text1"/>
              <w:right w:val="single" w:sz="6" w:space="0" w:color="000000" w:themeColor="text1"/>
            </w:tcBorders>
          </w:tcPr>
          <w:p w:rsidR="003C55C7" w:rsidRPr="003C55C7" w:rsidRDefault="003C55C7" w:rsidP="007650AC">
            <w:pPr>
              <w:spacing w:before="0" w:line="240" w:lineRule="auto"/>
              <w:rPr>
                <w:rFonts w:asciiTheme="minorHAnsi" w:hAnsiTheme="minorHAnsi" w:cs="ArialNarrow"/>
                <w:szCs w:val="22"/>
              </w:rPr>
            </w:pPr>
            <w:r w:rsidRPr="003C55C7">
              <w:rPr>
                <w:rFonts w:asciiTheme="minorHAnsi" w:hAnsiTheme="minorHAnsi" w:cs="ArialNarrow"/>
                <w:szCs w:val="22"/>
              </w:rPr>
              <w:t>EPC</w:t>
            </w:r>
          </w:p>
        </w:tc>
        <w:tc>
          <w:tcPr>
            <w:tcW w:w="2134" w:type="pc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tcPr>
          <w:p w:rsidR="003C55C7" w:rsidRPr="003C55C7" w:rsidRDefault="003C55C7" w:rsidP="007650AC">
            <w:pPr>
              <w:autoSpaceDE w:val="0"/>
              <w:autoSpaceDN w:val="0"/>
              <w:adjustRightInd w:val="0"/>
              <w:spacing w:before="0" w:line="240" w:lineRule="auto"/>
              <w:jc w:val="both"/>
              <w:rPr>
                <w:rFonts w:asciiTheme="minorHAnsi" w:eastAsiaTheme="minorHAnsi" w:hAnsiTheme="minorHAnsi" w:cstheme="minorBidi"/>
                <w:sz w:val="23"/>
                <w:szCs w:val="23"/>
                <w:lang w:eastAsia="en-US"/>
              </w:rPr>
            </w:pPr>
            <w:r w:rsidRPr="003C55C7">
              <w:rPr>
                <w:rFonts w:asciiTheme="minorHAnsi" w:eastAsiaTheme="minorHAnsi" w:hAnsiTheme="minorHAnsi" w:cstheme="minorBidi"/>
                <w:sz w:val="23"/>
                <w:szCs w:val="23"/>
                <w:lang w:eastAsia="en-US"/>
              </w:rPr>
              <w:t>Miejsca pracy utworzone w wyniku realizacji projektu, lecz nie powodują wzrostu zatrudnienia w organizacji</w:t>
            </w:r>
          </w:p>
          <w:p w:rsidR="003C55C7" w:rsidRPr="00394021" w:rsidRDefault="003C55C7" w:rsidP="007650AC">
            <w:pPr>
              <w:spacing w:line="240" w:lineRule="auto"/>
              <w:jc w:val="both"/>
              <w:rPr>
                <w:rFonts w:ascii="Arial Narrow" w:hAnsi="Arial Narrow"/>
                <w:color w:val="333399"/>
                <w:sz w:val="18"/>
                <w:szCs w:val="18"/>
              </w:rPr>
            </w:pPr>
          </w:p>
        </w:tc>
        <w:tc>
          <w:tcPr>
            <w:tcW w:w="1023" w:type="pct"/>
            <w:tcBorders>
              <w:top w:val="single" w:sz="6" w:space="0" w:color="000000" w:themeColor="text1"/>
              <w:left w:val="single" w:sz="6" w:space="0" w:color="000000" w:themeColor="text1"/>
              <w:bottom w:val="single" w:sz="6" w:space="0" w:color="000000" w:themeColor="text1"/>
              <w:right w:val="single" w:sz="8" w:space="0" w:color="000000" w:themeColor="text1"/>
            </w:tcBorders>
          </w:tcPr>
          <w:p w:rsidR="003C55C7" w:rsidRPr="003C55C7" w:rsidRDefault="003C55C7" w:rsidP="007650AC">
            <w:pPr>
              <w:spacing w:line="240" w:lineRule="auto"/>
              <w:jc w:val="both"/>
              <w:rPr>
                <w:rFonts w:asciiTheme="minorHAnsi" w:hAnsiTheme="minorHAnsi"/>
                <w:szCs w:val="22"/>
              </w:rPr>
            </w:pPr>
            <w:r w:rsidRPr="003C55C7">
              <w:rPr>
                <w:rFonts w:asciiTheme="minorHAnsi" w:hAnsiTheme="minorHAnsi"/>
                <w:szCs w:val="22"/>
              </w:rPr>
              <w:t>horyzontalny</w:t>
            </w:r>
          </w:p>
        </w:tc>
      </w:tr>
      <w:tr w:rsidR="003C55C7" w:rsidRPr="00911273" w:rsidTr="008E5605">
        <w:trPr>
          <w:cantSplit/>
          <w:trHeight w:val="20"/>
          <w:jc w:val="center"/>
        </w:trPr>
        <w:tc>
          <w:tcPr>
            <w:tcW w:w="1159" w:type="pct"/>
            <w:tcBorders>
              <w:top w:val="single" w:sz="6" w:space="0" w:color="000000" w:themeColor="text1"/>
              <w:left w:val="single" w:sz="8" w:space="0" w:color="000000" w:themeColor="text1"/>
              <w:bottom w:val="single" w:sz="8" w:space="0" w:color="000000" w:themeColor="text1"/>
              <w:right w:val="single" w:sz="6" w:space="0" w:color="000000" w:themeColor="text1"/>
            </w:tcBorders>
            <w:shd w:val="clear" w:color="auto" w:fill="auto"/>
          </w:tcPr>
          <w:p w:rsidR="003C55C7" w:rsidRPr="003C55C7" w:rsidRDefault="003C55C7" w:rsidP="007650AC">
            <w:pPr>
              <w:pStyle w:val="Default"/>
              <w:rPr>
                <w:rFonts w:asciiTheme="minorHAnsi" w:hAnsiTheme="minorHAnsi" w:cs="ArialNarrow"/>
                <w:sz w:val="22"/>
                <w:szCs w:val="22"/>
              </w:rPr>
            </w:pPr>
            <w:r w:rsidRPr="003C55C7">
              <w:rPr>
                <w:rFonts w:asciiTheme="minorHAnsi" w:hAnsiTheme="minorHAnsi" w:cs="ArialNarrow"/>
                <w:sz w:val="22"/>
                <w:szCs w:val="22"/>
              </w:rPr>
              <w:t xml:space="preserve">Liczba nowo utworzonych miejsc pracy - pozostałe formy </w:t>
            </w:r>
          </w:p>
        </w:tc>
        <w:tc>
          <w:tcPr>
            <w:tcW w:w="684" w:type="pct"/>
            <w:tcBorders>
              <w:top w:val="single" w:sz="6" w:space="0" w:color="000000" w:themeColor="text1"/>
              <w:left w:val="single" w:sz="6" w:space="0" w:color="000000" w:themeColor="text1"/>
              <w:bottom w:val="single" w:sz="8" w:space="0" w:color="000000" w:themeColor="text1"/>
              <w:right w:val="single" w:sz="6" w:space="0" w:color="000000" w:themeColor="text1"/>
            </w:tcBorders>
          </w:tcPr>
          <w:p w:rsidR="003C55C7" w:rsidRPr="003C55C7" w:rsidRDefault="003C55C7" w:rsidP="007650AC">
            <w:pPr>
              <w:spacing w:before="0" w:line="240" w:lineRule="auto"/>
              <w:rPr>
                <w:rFonts w:asciiTheme="minorHAnsi" w:hAnsiTheme="minorHAnsi" w:cs="ArialNarrow"/>
                <w:szCs w:val="22"/>
              </w:rPr>
            </w:pPr>
            <w:r w:rsidRPr="003C55C7">
              <w:rPr>
                <w:rFonts w:asciiTheme="minorHAnsi" w:hAnsiTheme="minorHAnsi" w:cs="ArialNarrow"/>
                <w:szCs w:val="22"/>
              </w:rPr>
              <w:t>EPC</w:t>
            </w:r>
          </w:p>
        </w:tc>
        <w:tc>
          <w:tcPr>
            <w:tcW w:w="2134" w:type="pct"/>
            <w:tcBorders>
              <w:top w:val="single" w:sz="6" w:space="0" w:color="000000" w:themeColor="text1"/>
              <w:left w:val="single" w:sz="6" w:space="0" w:color="000000" w:themeColor="text1"/>
              <w:bottom w:val="single" w:sz="8" w:space="0" w:color="000000" w:themeColor="text1"/>
              <w:right w:val="single" w:sz="6" w:space="0" w:color="000000" w:themeColor="text1"/>
            </w:tcBorders>
            <w:shd w:val="clear" w:color="auto" w:fill="auto"/>
            <w:vAlign w:val="center"/>
          </w:tcPr>
          <w:p w:rsidR="00471B0C" w:rsidRPr="00471B0C" w:rsidRDefault="00471B0C" w:rsidP="007650AC">
            <w:pPr>
              <w:autoSpaceDE w:val="0"/>
              <w:autoSpaceDN w:val="0"/>
              <w:adjustRightInd w:val="0"/>
              <w:spacing w:before="0" w:line="240" w:lineRule="auto"/>
              <w:jc w:val="both"/>
              <w:rPr>
                <w:rFonts w:asciiTheme="minorHAnsi" w:eastAsiaTheme="minorHAnsi" w:hAnsiTheme="minorHAnsi" w:cs="Verdana"/>
                <w:sz w:val="23"/>
                <w:szCs w:val="23"/>
                <w:lang w:eastAsia="en-US"/>
              </w:rPr>
            </w:pPr>
            <w:r w:rsidRPr="00471B0C">
              <w:rPr>
                <w:rFonts w:asciiTheme="minorHAnsi" w:eastAsiaTheme="minorHAnsi" w:hAnsiTheme="minorHAnsi" w:cstheme="minorBidi"/>
                <w:iCs/>
                <w:sz w:val="23"/>
                <w:szCs w:val="23"/>
                <w:lang w:eastAsia="en-US"/>
              </w:rPr>
              <w:t>Pozostałe formy</w:t>
            </w:r>
            <w:r w:rsidRPr="00471B0C">
              <w:rPr>
                <w:rFonts w:asciiTheme="minorHAnsi" w:eastAsiaTheme="minorHAnsi" w:hAnsiTheme="minorHAnsi" w:cs="Verdana"/>
                <w:sz w:val="23"/>
                <w:szCs w:val="23"/>
                <w:lang w:eastAsia="en-US"/>
              </w:rPr>
              <w:t xml:space="preserve">, np. umowy cywilnoprawne, miejsca pracy do obsługi projektu, nietrwałe miejsca pracy </w:t>
            </w:r>
          </w:p>
          <w:p w:rsidR="003C55C7" w:rsidRPr="00394021" w:rsidRDefault="003C55C7" w:rsidP="007650AC">
            <w:pPr>
              <w:spacing w:line="240" w:lineRule="auto"/>
              <w:jc w:val="both"/>
              <w:rPr>
                <w:rFonts w:ascii="Arial Narrow" w:hAnsi="Arial Narrow"/>
                <w:color w:val="333399"/>
                <w:sz w:val="18"/>
                <w:szCs w:val="18"/>
              </w:rPr>
            </w:pPr>
          </w:p>
        </w:tc>
        <w:tc>
          <w:tcPr>
            <w:tcW w:w="1023" w:type="pct"/>
            <w:tcBorders>
              <w:top w:val="single" w:sz="6" w:space="0" w:color="000000" w:themeColor="text1"/>
              <w:left w:val="single" w:sz="6" w:space="0" w:color="000000" w:themeColor="text1"/>
              <w:bottom w:val="single" w:sz="8" w:space="0" w:color="000000" w:themeColor="text1"/>
              <w:right w:val="single" w:sz="8" w:space="0" w:color="000000" w:themeColor="text1"/>
            </w:tcBorders>
          </w:tcPr>
          <w:p w:rsidR="003C55C7" w:rsidRPr="003C55C7" w:rsidRDefault="003C55C7" w:rsidP="007650AC">
            <w:pPr>
              <w:spacing w:line="240" w:lineRule="auto"/>
              <w:jc w:val="both"/>
              <w:rPr>
                <w:rFonts w:asciiTheme="minorHAnsi" w:hAnsiTheme="minorHAnsi"/>
                <w:szCs w:val="22"/>
              </w:rPr>
            </w:pPr>
            <w:r w:rsidRPr="003C55C7">
              <w:rPr>
                <w:rFonts w:asciiTheme="minorHAnsi" w:hAnsiTheme="minorHAnsi"/>
                <w:szCs w:val="22"/>
              </w:rPr>
              <w:t>horyzontalny</w:t>
            </w:r>
          </w:p>
        </w:tc>
      </w:tr>
    </w:tbl>
    <w:p w:rsidR="008C495E" w:rsidRPr="000F0960" w:rsidRDefault="008C495E" w:rsidP="007650AC">
      <w:pPr>
        <w:autoSpaceDE w:val="0"/>
        <w:autoSpaceDN w:val="0"/>
        <w:adjustRightInd w:val="0"/>
        <w:spacing w:before="120" w:after="120" w:line="240" w:lineRule="auto"/>
        <w:jc w:val="both"/>
        <w:rPr>
          <w:rFonts w:asciiTheme="minorHAnsi" w:eastAsiaTheme="minorHAnsi" w:hAnsiTheme="minorHAnsi" w:cs="Arial"/>
          <w:szCs w:val="22"/>
          <w:lang w:eastAsia="en-US"/>
        </w:rPr>
      </w:pPr>
      <w:r w:rsidRPr="000F0960">
        <w:rPr>
          <w:rFonts w:asciiTheme="minorHAnsi" w:eastAsiaTheme="minorHAnsi" w:hAnsiTheme="minorHAnsi" w:cs="Arial"/>
          <w:szCs w:val="22"/>
          <w:lang w:eastAsia="en-US"/>
        </w:rPr>
        <w:t xml:space="preserve">W ramach wniosku o dofinansowanie Wnioskodawca ma obowiązek uwzględnić </w:t>
      </w:r>
      <w:r w:rsidRPr="000F0960">
        <w:rPr>
          <w:rFonts w:asciiTheme="minorHAnsi" w:eastAsiaTheme="minorHAnsi" w:hAnsiTheme="minorHAnsi" w:cs="Arial"/>
          <w:b/>
          <w:szCs w:val="22"/>
          <w:lang w:eastAsia="en-US"/>
        </w:rPr>
        <w:t>wszystkie adekwatne</w:t>
      </w:r>
      <w:r w:rsidRPr="000F0960">
        <w:rPr>
          <w:rFonts w:asciiTheme="minorHAnsi" w:eastAsiaTheme="minorHAnsi" w:hAnsiTheme="minorHAnsi" w:cs="Arial"/>
          <w:szCs w:val="22"/>
          <w:lang w:eastAsia="en-US"/>
        </w:rPr>
        <w:t xml:space="preserve"> wskaźniki produktu oraz rezultatu bezpośredniego z listy przedstawionej </w:t>
      </w:r>
      <w:r w:rsidR="009D3C56" w:rsidRPr="000F0960">
        <w:rPr>
          <w:rFonts w:asciiTheme="minorHAnsi" w:eastAsiaTheme="minorHAnsi" w:hAnsiTheme="minorHAnsi" w:cs="Arial"/>
          <w:szCs w:val="22"/>
          <w:lang w:eastAsia="en-US"/>
        </w:rPr>
        <w:br/>
      </w:r>
      <w:r w:rsidRPr="000F0960">
        <w:rPr>
          <w:rFonts w:asciiTheme="minorHAnsi" w:eastAsiaTheme="minorHAnsi" w:hAnsiTheme="minorHAnsi" w:cs="Arial"/>
          <w:szCs w:val="22"/>
          <w:lang w:eastAsia="en-US"/>
        </w:rPr>
        <w:t xml:space="preserve">w powyższych tabelach, odpowiadające </w:t>
      </w:r>
      <w:r w:rsidR="000F5C98" w:rsidRPr="000F0960">
        <w:rPr>
          <w:rFonts w:asciiTheme="minorHAnsi" w:eastAsiaTheme="minorHAnsi" w:hAnsiTheme="minorHAnsi" w:cs="Arial"/>
          <w:szCs w:val="22"/>
          <w:lang w:eastAsia="en-US"/>
        </w:rPr>
        <w:t xml:space="preserve">celowi </w:t>
      </w:r>
      <w:r w:rsidRPr="000F0960">
        <w:rPr>
          <w:rFonts w:asciiTheme="minorHAnsi" w:eastAsiaTheme="minorHAnsi" w:hAnsiTheme="minorHAnsi" w:cs="Arial"/>
          <w:szCs w:val="22"/>
          <w:lang w:eastAsia="en-US"/>
        </w:rPr>
        <w:t xml:space="preserve">projektu. </w:t>
      </w:r>
      <w:r w:rsidRPr="000F0960">
        <w:rPr>
          <w:rFonts w:asciiTheme="minorHAnsi" w:hAnsiTheme="minorHAnsi"/>
          <w:szCs w:val="22"/>
        </w:rPr>
        <w:t xml:space="preserve">Dodatkowo w ramach wniosku </w:t>
      </w:r>
      <w:r w:rsidR="00340A6B" w:rsidRPr="000F0960">
        <w:rPr>
          <w:rFonts w:asciiTheme="minorHAnsi" w:hAnsiTheme="minorHAnsi"/>
          <w:szCs w:val="22"/>
        </w:rPr>
        <w:br/>
      </w:r>
      <w:r w:rsidRPr="000F0960">
        <w:rPr>
          <w:rFonts w:asciiTheme="minorHAnsi" w:hAnsiTheme="minorHAnsi"/>
          <w:szCs w:val="22"/>
        </w:rPr>
        <w:lastRenderedPageBreak/>
        <w:t>o dofinansowanie Wnioskodawca może określić inne, dodatkowe wskaźniki specyficzne dla danego projektu, o ile będzie to niezbędne dla prawidłowej realizacji projektu (tzw. wskaźniki projektowe).</w:t>
      </w:r>
    </w:p>
    <w:p w:rsidR="008C495E" w:rsidRPr="00911273" w:rsidRDefault="008C495E" w:rsidP="007650AC">
      <w:pPr>
        <w:autoSpaceDE w:val="0"/>
        <w:autoSpaceDN w:val="0"/>
        <w:adjustRightInd w:val="0"/>
        <w:spacing w:before="120" w:after="120" w:line="240" w:lineRule="auto"/>
        <w:jc w:val="both"/>
        <w:rPr>
          <w:rFonts w:asciiTheme="minorHAnsi" w:eastAsiaTheme="minorHAnsi" w:hAnsiTheme="minorHAnsi" w:cs="Arial"/>
          <w:b/>
          <w:iCs/>
          <w:szCs w:val="22"/>
          <w:lang w:eastAsia="en-US"/>
        </w:rPr>
      </w:pPr>
    </w:p>
    <w:p w:rsidR="008C495E" w:rsidRPr="00911273" w:rsidRDefault="008C495E" w:rsidP="007650AC">
      <w:pPr>
        <w:pStyle w:val="Default"/>
        <w:jc w:val="both"/>
        <w:rPr>
          <w:rFonts w:asciiTheme="minorHAnsi" w:eastAsiaTheme="minorHAnsi" w:hAnsiTheme="minorHAnsi" w:cstheme="minorBidi"/>
          <w:sz w:val="22"/>
          <w:szCs w:val="22"/>
          <w:lang w:eastAsia="en-US"/>
        </w:rPr>
      </w:pPr>
      <w:r w:rsidRPr="00911273">
        <w:rPr>
          <w:rFonts w:asciiTheme="minorHAnsi" w:eastAsiaTheme="minorHAnsi" w:hAnsiTheme="minorHAnsi" w:cstheme="minorBidi"/>
          <w:sz w:val="22"/>
          <w:szCs w:val="22"/>
          <w:lang w:eastAsia="en-US"/>
        </w:rPr>
        <w:t xml:space="preserve">We wniosku o dofinansowanie należy określić, w jaki sposób i na jakiej podstawie mierzone będą wskaźniki realizacji celu </w:t>
      </w:r>
      <w:r w:rsidR="008E3F0D">
        <w:rPr>
          <w:rFonts w:asciiTheme="minorHAnsi" w:eastAsiaTheme="minorHAnsi" w:hAnsiTheme="minorHAnsi" w:cstheme="minorBidi"/>
          <w:sz w:val="22"/>
          <w:szCs w:val="22"/>
          <w:lang w:eastAsia="en-US"/>
        </w:rPr>
        <w:t xml:space="preserve">projektu </w:t>
      </w:r>
      <w:r w:rsidRPr="00911273">
        <w:rPr>
          <w:rFonts w:asciiTheme="minorHAnsi" w:eastAsiaTheme="minorHAnsi" w:hAnsiTheme="minorHAnsi" w:cstheme="minorBidi"/>
          <w:sz w:val="22"/>
          <w:szCs w:val="22"/>
          <w:lang w:eastAsia="en-US"/>
        </w:rPr>
        <w:t xml:space="preserve">poprzez ustalenie źródła weryfikacji/pozyskania danych do pomiaru wskaźnika oraz częstotliwości pomiaru. Dlatego przy określaniu wskaźników należy wziąć pod uwagę dostępność i wiarygodność danych niezbędnych do pomiaru danego wskaźnika. </w:t>
      </w:r>
    </w:p>
    <w:p w:rsidR="00340A6B" w:rsidRDefault="00340A6B" w:rsidP="007650AC">
      <w:pPr>
        <w:autoSpaceDE w:val="0"/>
        <w:autoSpaceDN w:val="0"/>
        <w:adjustRightInd w:val="0"/>
        <w:spacing w:line="240" w:lineRule="auto"/>
        <w:jc w:val="both"/>
        <w:rPr>
          <w:rFonts w:asciiTheme="minorHAnsi" w:hAnsiTheme="minorHAnsi" w:cs="Arial"/>
          <w:b/>
          <w:color w:val="000000"/>
          <w:u w:val="single"/>
        </w:rPr>
      </w:pPr>
    </w:p>
    <w:p w:rsidR="003C55C7" w:rsidRPr="00340A6B" w:rsidRDefault="003C55C7" w:rsidP="007650AC">
      <w:pPr>
        <w:spacing w:line="240" w:lineRule="auto"/>
        <w:jc w:val="both"/>
        <w:rPr>
          <w:rFonts w:asciiTheme="minorHAnsi" w:hAnsiTheme="minorHAnsi" w:cs="Arial"/>
          <w:b/>
          <w:u w:val="single"/>
        </w:rPr>
      </w:pPr>
      <w:r w:rsidRPr="00340A6B">
        <w:rPr>
          <w:rFonts w:asciiTheme="minorHAnsi" w:hAnsiTheme="minorHAnsi" w:cs="Arial"/>
          <w:b/>
          <w:u w:val="single"/>
        </w:rPr>
        <w:t>Wartość bazowa (tzn. wartość w momencie rozpoczęcia realizacji projektu) w</w:t>
      </w:r>
      <w:r w:rsidR="00141571" w:rsidRPr="00340A6B">
        <w:rPr>
          <w:rFonts w:asciiTheme="minorHAnsi" w:hAnsiTheme="minorHAnsi" w:cs="Arial"/>
          <w:b/>
          <w:u w:val="single"/>
        </w:rPr>
        <w:t> </w:t>
      </w:r>
      <w:r w:rsidRPr="00340A6B">
        <w:rPr>
          <w:rFonts w:asciiTheme="minorHAnsi" w:hAnsiTheme="minorHAnsi" w:cs="Arial"/>
          <w:b/>
          <w:u w:val="single"/>
        </w:rPr>
        <w:t>przypadku każdego wskaźnika powinna być wykazana na poziomie „0”.</w:t>
      </w:r>
    </w:p>
    <w:p w:rsidR="003C55C7" w:rsidRPr="00340A6B" w:rsidRDefault="003C55C7" w:rsidP="007650AC">
      <w:pPr>
        <w:spacing w:line="240" w:lineRule="auto"/>
        <w:jc w:val="both"/>
        <w:rPr>
          <w:rFonts w:asciiTheme="minorHAnsi" w:hAnsiTheme="minorHAnsi" w:cs="Arial"/>
          <w:b/>
          <w:u w:val="single"/>
        </w:rPr>
      </w:pPr>
      <w:r w:rsidRPr="00340A6B">
        <w:rPr>
          <w:rFonts w:asciiTheme="minorHAnsi" w:hAnsiTheme="minorHAnsi" w:cs="Arial"/>
          <w:b/>
          <w:u w:val="single"/>
        </w:rPr>
        <w:t xml:space="preserve">O ile w umowie o dofinansowanie projektu nie wskazano inaczej, efekt wsparcia na poziomie projektu występuje: </w:t>
      </w:r>
    </w:p>
    <w:p w:rsidR="003C55C7" w:rsidRPr="00340A6B" w:rsidRDefault="003C55C7" w:rsidP="007650AC">
      <w:pPr>
        <w:spacing w:line="240" w:lineRule="auto"/>
        <w:jc w:val="both"/>
        <w:rPr>
          <w:rFonts w:asciiTheme="minorHAnsi" w:hAnsiTheme="minorHAnsi" w:cs="Arial"/>
          <w:b/>
          <w:u w:val="single"/>
        </w:rPr>
      </w:pPr>
      <w:r w:rsidRPr="00340A6B">
        <w:rPr>
          <w:rFonts w:asciiTheme="minorHAnsi" w:hAnsiTheme="minorHAnsi" w:cs="Arial"/>
          <w:b/>
          <w:u w:val="single"/>
        </w:rPr>
        <w:t>a) w przypadku wskaźników produktu – w okresie od podpisania umowy o</w:t>
      </w:r>
      <w:r w:rsidR="00141571" w:rsidRPr="00340A6B">
        <w:rPr>
          <w:rFonts w:asciiTheme="minorHAnsi" w:hAnsiTheme="minorHAnsi" w:cs="Arial"/>
          <w:b/>
          <w:u w:val="single"/>
        </w:rPr>
        <w:t> </w:t>
      </w:r>
      <w:r w:rsidRPr="00340A6B">
        <w:rPr>
          <w:rFonts w:asciiTheme="minorHAnsi" w:hAnsiTheme="minorHAnsi" w:cs="Arial"/>
          <w:b/>
          <w:u w:val="single"/>
        </w:rPr>
        <w:t xml:space="preserve">dofinansowanie, przy czym osiągnięte wartości powinny zostać wykazane najpóźniej we wniosku o płatność końcową, </w:t>
      </w:r>
    </w:p>
    <w:p w:rsidR="003C55C7" w:rsidRPr="00340A6B" w:rsidRDefault="003C55C7" w:rsidP="007650AC">
      <w:pPr>
        <w:spacing w:line="240" w:lineRule="auto"/>
        <w:jc w:val="both"/>
        <w:rPr>
          <w:rFonts w:asciiTheme="minorHAnsi" w:hAnsiTheme="minorHAnsi" w:cs="Arial"/>
          <w:b/>
          <w:u w:val="single"/>
        </w:rPr>
      </w:pPr>
      <w:r w:rsidRPr="00340A6B">
        <w:rPr>
          <w:rFonts w:asciiTheme="minorHAnsi" w:hAnsiTheme="minorHAnsi" w:cs="Arial"/>
          <w:b/>
          <w:u w:val="single"/>
        </w:rPr>
        <w:t xml:space="preserve">b) w przypadku wskaźników rezultatu określonych na poziomie projektu: </w:t>
      </w:r>
    </w:p>
    <w:p w:rsidR="003C55C7" w:rsidRPr="00340A6B" w:rsidRDefault="003C55C7" w:rsidP="007650AC">
      <w:pPr>
        <w:pStyle w:val="Akapitzlist"/>
        <w:numPr>
          <w:ilvl w:val="0"/>
          <w:numId w:val="6"/>
        </w:numPr>
        <w:spacing w:before="0" w:after="200" w:line="240" w:lineRule="auto"/>
        <w:ind w:left="1080"/>
        <w:contextualSpacing/>
        <w:jc w:val="both"/>
        <w:rPr>
          <w:rFonts w:asciiTheme="minorHAnsi" w:hAnsiTheme="minorHAnsi" w:cs="Arial"/>
          <w:b/>
          <w:u w:val="single"/>
        </w:rPr>
      </w:pPr>
      <w:r w:rsidRPr="00340A6B">
        <w:rPr>
          <w:rFonts w:asciiTheme="minorHAnsi" w:hAnsiTheme="minorHAnsi" w:cs="Arial"/>
          <w:b/>
          <w:u w:val="single"/>
        </w:rPr>
        <w:t>co do zasady – w okresie 12 miesięcy od zakończenia okresu realizacji projektu określonego w umowie o dofinansowaniu projektu lub, o ile wynika to ze specyfiki projektu, od uruchomienia przedsięwzięcia, przy czym osiągnięte wartości wykazywane są w korekcie do wniosku o</w:t>
      </w:r>
      <w:r w:rsidR="00141571" w:rsidRPr="00340A6B">
        <w:rPr>
          <w:rFonts w:asciiTheme="minorHAnsi" w:hAnsiTheme="minorHAnsi" w:cs="Arial"/>
          <w:b/>
          <w:u w:val="single"/>
        </w:rPr>
        <w:t> </w:t>
      </w:r>
      <w:r w:rsidRPr="00340A6B">
        <w:rPr>
          <w:rFonts w:asciiTheme="minorHAnsi" w:hAnsiTheme="minorHAnsi" w:cs="Arial"/>
          <w:b/>
          <w:u w:val="single"/>
        </w:rPr>
        <w:t>płatność końcową.</w:t>
      </w:r>
    </w:p>
    <w:p w:rsidR="0032765F" w:rsidRDefault="0032765F"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1D6BB2" w:rsidRDefault="001D6BB2" w:rsidP="007650AC">
      <w:pPr>
        <w:spacing w:line="240" w:lineRule="auto"/>
        <w:rPr>
          <w:szCs w:val="22"/>
        </w:rPr>
      </w:pPr>
    </w:p>
    <w:p w:rsidR="00FA564D" w:rsidRDefault="00FA564D" w:rsidP="007650AC">
      <w:pPr>
        <w:spacing w:line="240" w:lineRule="auto"/>
        <w:rPr>
          <w:szCs w:val="22"/>
        </w:rPr>
      </w:pPr>
    </w:p>
    <w:p w:rsidR="00786332" w:rsidRDefault="00786332" w:rsidP="00FA564D">
      <w:pPr>
        <w:spacing w:line="240" w:lineRule="auto"/>
        <w:rPr>
          <w:b/>
          <w:szCs w:val="22"/>
        </w:rPr>
      </w:pPr>
      <w:r w:rsidRPr="00786332">
        <w:rPr>
          <w:b/>
          <w:szCs w:val="22"/>
        </w:rPr>
        <w:lastRenderedPageBreak/>
        <w:t xml:space="preserve">Zgodnie z załącznikiem nr 2 „Lista Wskaźników do wykonania celów pośrednich oraz końcowych” do Porozumienia nr DEF-Z/986/15 z dnia 9 czerwca 2015 zawartego pomiędzy Województwem Dolnośląskim a Gminą Wrocław pełniąca funkcję Instytucji Pośredniczącej, wskaźniki produktu weryfikowane na etapie oceny zgodności ze Strategią ZIT </w:t>
      </w:r>
      <w:proofErr w:type="spellStart"/>
      <w:r w:rsidRPr="00786332">
        <w:rPr>
          <w:b/>
          <w:szCs w:val="22"/>
        </w:rPr>
        <w:t>WrOF</w:t>
      </w:r>
      <w:proofErr w:type="spellEnd"/>
      <w:r w:rsidRPr="00786332">
        <w:rPr>
          <w:b/>
          <w:szCs w:val="22"/>
        </w:rPr>
        <w:t xml:space="preserve"> są tożsame ze wskazanymi poniżej tj.:</w:t>
      </w:r>
    </w:p>
    <w:p w:rsidR="00FA564D" w:rsidRDefault="00FA564D" w:rsidP="00FA564D">
      <w:pPr>
        <w:spacing w:line="240" w:lineRule="auto"/>
        <w:rPr>
          <w:szCs w:val="22"/>
        </w:rPr>
      </w:pPr>
    </w:p>
    <w:tbl>
      <w:tblPr>
        <w:tblW w:w="5000" w:type="pct"/>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6" w:space="0" w:color="000000" w:themeColor="text1"/>
          <w:insideV w:val="single" w:sz="6" w:space="0" w:color="000000" w:themeColor="text1"/>
        </w:tblBorders>
        <w:tblLook w:val="01E0" w:firstRow="1" w:lastRow="1" w:firstColumn="1" w:lastColumn="1" w:noHBand="0" w:noVBand="0"/>
      </w:tblPr>
      <w:tblGrid>
        <w:gridCol w:w="2561"/>
        <w:gridCol w:w="1133"/>
        <w:gridCol w:w="5594"/>
      </w:tblGrid>
      <w:tr w:rsidR="00FA564D" w:rsidTr="00FA564D">
        <w:trPr>
          <w:cantSplit/>
          <w:trHeight w:val="20"/>
          <w:jc w:val="center"/>
        </w:trPr>
        <w:tc>
          <w:tcPr>
            <w:tcW w:w="1127" w:type="pct"/>
            <w:tcBorders>
              <w:top w:val="single" w:sz="8" w:space="0" w:color="000000" w:themeColor="text1"/>
              <w:left w:val="single" w:sz="8" w:space="0" w:color="000000" w:themeColor="text1"/>
              <w:bottom w:val="single" w:sz="6" w:space="0" w:color="000000" w:themeColor="text1"/>
              <w:right w:val="single" w:sz="6" w:space="0" w:color="000000" w:themeColor="text1"/>
            </w:tcBorders>
            <w:hideMark/>
          </w:tcPr>
          <w:p w:rsidR="00FA564D" w:rsidRDefault="00FA564D">
            <w:pPr>
              <w:spacing w:before="0" w:line="240" w:lineRule="auto"/>
              <w:jc w:val="center"/>
              <w:rPr>
                <w:rFonts w:ascii="Calibri" w:hAnsi="Calibri"/>
                <w:b/>
                <w:szCs w:val="22"/>
                <w:lang w:eastAsia="en-US"/>
              </w:rPr>
            </w:pPr>
            <w:r>
              <w:rPr>
                <w:rFonts w:ascii="Calibri" w:hAnsi="Calibri"/>
                <w:b/>
                <w:szCs w:val="22"/>
                <w:lang w:eastAsia="en-US"/>
              </w:rPr>
              <w:t>Nazwa wskaźnika produktu</w:t>
            </w:r>
          </w:p>
        </w:tc>
        <w:tc>
          <w:tcPr>
            <w:tcW w:w="458" w:type="pct"/>
            <w:tcBorders>
              <w:top w:val="single" w:sz="8" w:space="0" w:color="000000" w:themeColor="text1"/>
              <w:left w:val="single" w:sz="6" w:space="0" w:color="000000" w:themeColor="text1"/>
              <w:bottom w:val="single" w:sz="6" w:space="0" w:color="000000" w:themeColor="text1"/>
              <w:right w:val="single" w:sz="6" w:space="0" w:color="000000" w:themeColor="text1"/>
            </w:tcBorders>
            <w:hideMark/>
          </w:tcPr>
          <w:p w:rsidR="00FA564D" w:rsidRDefault="00FA564D">
            <w:pPr>
              <w:suppressAutoHyphens/>
              <w:spacing w:before="0" w:line="240" w:lineRule="auto"/>
              <w:jc w:val="center"/>
              <w:rPr>
                <w:rFonts w:ascii="Calibri" w:hAnsi="Calibri"/>
                <w:b/>
                <w:bCs/>
                <w:szCs w:val="22"/>
                <w:lang w:eastAsia="en-US"/>
              </w:rPr>
            </w:pPr>
            <w:r>
              <w:rPr>
                <w:rFonts w:ascii="Calibri" w:hAnsi="Calibri"/>
                <w:b/>
                <w:bCs/>
                <w:szCs w:val="22"/>
                <w:lang w:eastAsia="en-US"/>
              </w:rPr>
              <w:t>Jednostka miary</w:t>
            </w:r>
          </w:p>
        </w:tc>
        <w:tc>
          <w:tcPr>
            <w:tcW w:w="2442" w:type="pct"/>
            <w:tcBorders>
              <w:top w:val="single" w:sz="8" w:space="0" w:color="000000" w:themeColor="text1"/>
              <w:left w:val="single" w:sz="6" w:space="0" w:color="000000" w:themeColor="text1"/>
              <w:bottom w:val="single" w:sz="6" w:space="0" w:color="000000" w:themeColor="text1"/>
              <w:right w:val="single" w:sz="8" w:space="0" w:color="000000" w:themeColor="text1"/>
            </w:tcBorders>
            <w:hideMark/>
          </w:tcPr>
          <w:p w:rsidR="00FA564D" w:rsidRDefault="00FA564D">
            <w:pPr>
              <w:suppressAutoHyphens/>
              <w:spacing w:before="0" w:line="240" w:lineRule="auto"/>
              <w:jc w:val="center"/>
              <w:rPr>
                <w:rFonts w:ascii="Calibri" w:hAnsi="Calibri"/>
                <w:b/>
                <w:szCs w:val="22"/>
                <w:lang w:eastAsia="en-US"/>
              </w:rPr>
            </w:pPr>
            <w:r>
              <w:rPr>
                <w:rFonts w:ascii="Calibri" w:hAnsi="Calibri"/>
                <w:b/>
                <w:bCs/>
                <w:szCs w:val="22"/>
                <w:lang w:eastAsia="en-US"/>
              </w:rPr>
              <w:t>Definicja wskaźnika</w:t>
            </w:r>
          </w:p>
        </w:tc>
      </w:tr>
      <w:tr w:rsidR="00FA564D" w:rsidTr="00FA564D">
        <w:trPr>
          <w:cantSplit/>
          <w:trHeight w:val="20"/>
          <w:jc w:val="center"/>
        </w:trPr>
        <w:tc>
          <w:tcPr>
            <w:tcW w:w="1127" w:type="pct"/>
            <w:tcBorders>
              <w:top w:val="single" w:sz="6" w:space="0" w:color="000000" w:themeColor="text1"/>
              <w:left w:val="single" w:sz="8" w:space="0" w:color="000000" w:themeColor="text1"/>
              <w:bottom w:val="single" w:sz="6" w:space="0" w:color="000000" w:themeColor="text1"/>
              <w:right w:val="single" w:sz="6" w:space="0" w:color="000000" w:themeColor="text1"/>
            </w:tcBorders>
            <w:hideMark/>
          </w:tcPr>
          <w:p w:rsidR="00FA564D" w:rsidRDefault="00FA564D">
            <w:pPr>
              <w:spacing w:before="60" w:after="60" w:line="240" w:lineRule="auto"/>
              <w:rPr>
                <w:rFonts w:ascii="Calibri" w:hAnsi="Calibri"/>
                <w:szCs w:val="22"/>
                <w:lang w:eastAsia="en-US"/>
              </w:rPr>
            </w:pPr>
            <w:r>
              <w:rPr>
                <w:rFonts w:ascii="Calibri" w:hAnsi="Calibri"/>
                <w:szCs w:val="22"/>
                <w:lang w:eastAsia="en-US"/>
              </w:rPr>
              <w:t>Liczba usług publicznych udostępnionych on-line o stopniu dojrzałości 3 dwustronna interakcja</w:t>
            </w:r>
          </w:p>
        </w:tc>
        <w:tc>
          <w:tcPr>
            <w:tcW w:w="458"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FA564D" w:rsidRDefault="00FA564D">
            <w:pPr>
              <w:spacing w:line="240" w:lineRule="auto"/>
              <w:jc w:val="both"/>
              <w:rPr>
                <w:szCs w:val="22"/>
                <w:lang w:eastAsia="en-US"/>
              </w:rPr>
            </w:pPr>
            <w:r>
              <w:rPr>
                <w:rFonts w:ascii="Calibri" w:hAnsi="Calibri"/>
                <w:szCs w:val="22"/>
                <w:lang w:eastAsia="en-US"/>
              </w:rPr>
              <w:t>szt.</w:t>
            </w:r>
          </w:p>
        </w:tc>
        <w:tc>
          <w:tcPr>
            <w:tcW w:w="2442" w:type="pct"/>
            <w:tcBorders>
              <w:top w:val="single" w:sz="6" w:space="0" w:color="000000" w:themeColor="text1"/>
              <w:left w:val="single" w:sz="6" w:space="0" w:color="000000" w:themeColor="text1"/>
              <w:bottom w:val="single" w:sz="6" w:space="0" w:color="000000" w:themeColor="text1"/>
              <w:right w:val="single" w:sz="8" w:space="0" w:color="000000" w:themeColor="text1"/>
            </w:tcBorders>
          </w:tcPr>
          <w:p w:rsidR="00FA564D" w:rsidRDefault="00FA564D">
            <w:pPr>
              <w:spacing w:before="0" w:line="276" w:lineRule="auto"/>
              <w:jc w:val="both"/>
              <w:rPr>
                <w:rFonts w:ascii="Calibri" w:eastAsia="Calibri" w:hAnsi="Calibri" w:cs="Arial Narrow"/>
                <w:szCs w:val="22"/>
                <w:lang w:eastAsia="en-US"/>
              </w:rPr>
            </w:pPr>
            <w:r>
              <w:rPr>
                <w:rFonts w:ascii="Calibri" w:eastAsia="Calibri" w:hAnsi="Calibri" w:cs="Arial Narrow"/>
                <w:szCs w:val="22"/>
                <w:lang w:eastAsia="en-US"/>
              </w:rPr>
              <w:t xml:space="preserve">Usługa on-line o stopniu dojrzałości 3 umożliwia transfer danych w dwóch kierunkach: od usługodawcy do klienta oraz od klienta do usługodawcy. Typowym sposobem jej realizacji jest pobranie, wypełnienie i odesłanie formularza drogą elektroniczną. Usługi powyższe obejmują m.in. usługi powstałe </w:t>
            </w:r>
            <w:r>
              <w:rPr>
                <w:rFonts w:ascii="Calibri" w:eastAsia="Calibri" w:hAnsi="Calibri" w:cs="Arial Narrow"/>
                <w:szCs w:val="22"/>
                <w:lang w:eastAsia="en-US"/>
              </w:rPr>
              <w:br/>
              <w:t>w ramach digitalizacji map, GIS.</w:t>
            </w:r>
          </w:p>
          <w:p w:rsidR="00FA564D" w:rsidRDefault="00FA564D">
            <w:pPr>
              <w:spacing w:before="0" w:line="276" w:lineRule="auto"/>
              <w:jc w:val="both"/>
              <w:rPr>
                <w:rFonts w:ascii="Calibri" w:eastAsia="Calibri" w:hAnsi="Calibri" w:cs="Arial Narrow"/>
                <w:szCs w:val="22"/>
                <w:lang w:eastAsia="en-US"/>
              </w:rPr>
            </w:pPr>
            <w:r>
              <w:rPr>
                <w:rFonts w:ascii="Calibri" w:eastAsia="Calibri" w:hAnsi="Calibri" w:cs="Arial Narrow"/>
                <w:szCs w:val="22"/>
                <w:lang w:eastAsia="en-US"/>
              </w:rPr>
              <w:t>W ramach wskaźnika należy ujmować usługi:</w:t>
            </w:r>
          </w:p>
          <w:p w:rsidR="00FA564D" w:rsidRDefault="00FA564D" w:rsidP="00FA564D">
            <w:pPr>
              <w:numPr>
                <w:ilvl w:val="0"/>
                <w:numId w:val="10"/>
              </w:numPr>
              <w:spacing w:before="0" w:after="200" w:line="276" w:lineRule="auto"/>
              <w:contextualSpacing/>
              <w:jc w:val="both"/>
              <w:rPr>
                <w:rFonts w:ascii="Calibri" w:eastAsia="Calibri" w:hAnsi="Calibri" w:cs="Arial Narrow"/>
                <w:szCs w:val="22"/>
                <w:lang w:eastAsia="en-US"/>
              </w:rPr>
            </w:pPr>
            <w:r>
              <w:rPr>
                <w:rFonts w:ascii="Calibri" w:eastAsia="Calibri" w:hAnsi="Calibri" w:cs="Arial Narrow"/>
                <w:szCs w:val="22"/>
                <w:lang w:eastAsia="en-US"/>
              </w:rPr>
              <w:t>nowe lub istotnie udoskonalone,</w:t>
            </w:r>
          </w:p>
          <w:p w:rsidR="00FA564D" w:rsidRDefault="00FA564D">
            <w:pPr>
              <w:autoSpaceDE w:val="0"/>
              <w:autoSpaceDN w:val="0"/>
              <w:adjustRightInd w:val="0"/>
              <w:spacing w:before="0" w:line="240" w:lineRule="auto"/>
              <w:jc w:val="both"/>
              <w:rPr>
                <w:rFonts w:ascii="Calibri" w:eastAsia="Calibri" w:hAnsi="Calibri" w:cs="Arial Narrow"/>
                <w:szCs w:val="22"/>
                <w:lang w:eastAsia="en-US"/>
              </w:rPr>
            </w:pPr>
            <w:r>
              <w:rPr>
                <w:rFonts w:ascii="Calibri" w:eastAsia="Calibri" w:hAnsi="Calibri" w:cs="Arial Narrow"/>
                <w:szCs w:val="22"/>
                <w:lang w:eastAsia="en-US"/>
              </w:rPr>
              <w:t xml:space="preserve">skierowane do klientów spoza administracji publicznej: obywateli (usługi A2C, Administration to </w:t>
            </w:r>
            <w:proofErr w:type="spellStart"/>
            <w:r>
              <w:rPr>
                <w:rFonts w:ascii="Calibri" w:eastAsia="Calibri" w:hAnsi="Calibri" w:cs="Arial Narrow"/>
                <w:szCs w:val="22"/>
                <w:lang w:eastAsia="en-US"/>
              </w:rPr>
              <w:t>Citizen</w:t>
            </w:r>
            <w:proofErr w:type="spellEnd"/>
            <w:r>
              <w:rPr>
                <w:rFonts w:ascii="Calibri" w:eastAsia="Calibri" w:hAnsi="Calibri" w:cs="Arial Narrow"/>
                <w:szCs w:val="22"/>
                <w:lang w:eastAsia="en-US"/>
              </w:rPr>
              <w:t>) i/lub przedsiębiorców (A2B, Administration to Business). Powyższe warunki należy traktować łącznie.</w:t>
            </w:r>
          </w:p>
          <w:p w:rsidR="00FA564D" w:rsidRDefault="00FA564D">
            <w:pPr>
              <w:autoSpaceDE w:val="0"/>
              <w:autoSpaceDN w:val="0"/>
              <w:adjustRightInd w:val="0"/>
              <w:spacing w:before="0" w:line="240" w:lineRule="auto"/>
              <w:jc w:val="both"/>
              <w:rPr>
                <w:rFonts w:ascii="Calibri" w:eastAsia="Calibri" w:hAnsi="Calibri" w:cs="Arial Narrow"/>
                <w:szCs w:val="22"/>
                <w:lang w:eastAsia="en-US"/>
              </w:rPr>
            </w:pPr>
          </w:p>
          <w:p w:rsidR="00FA564D" w:rsidRDefault="00FA564D">
            <w:pPr>
              <w:autoSpaceDE w:val="0"/>
              <w:autoSpaceDN w:val="0"/>
              <w:adjustRightInd w:val="0"/>
              <w:spacing w:before="0" w:line="240" w:lineRule="auto"/>
              <w:jc w:val="both"/>
              <w:rPr>
                <w:rFonts w:ascii="Calibri" w:eastAsia="Calibri" w:hAnsi="Calibri" w:cs="Arial Narrow"/>
                <w:szCs w:val="22"/>
                <w:lang w:eastAsia="en-US"/>
              </w:rPr>
            </w:pPr>
            <w:r>
              <w:rPr>
                <w:rFonts w:ascii="Calibri" w:hAnsi="Calibri"/>
                <w:szCs w:val="22"/>
                <w:lang w:eastAsia="en-US"/>
              </w:rPr>
              <w:t>Metoda pomiaru:</w:t>
            </w:r>
          </w:p>
          <w:p w:rsidR="00FA564D" w:rsidRDefault="00FA564D">
            <w:pPr>
              <w:spacing w:before="0" w:line="276" w:lineRule="auto"/>
              <w:jc w:val="both"/>
              <w:rPr>
                <w:rFonts w:ascii="Calibri" w:eastAsia="Calibri" w:hAnsi="Calibri" w:cs="Arial Narrow"/>
                <w:szCs w:val="22"/>
                <w:lang w:eastAsia="en-US"/>
              </w:rPr>
            </w:pPr>
            <w:r>
              <w:rPr>
                <w:rFonts w:ascii="Calibri" w:eastAsia="Calibri" w:hAnsi="Calibri" w:cs="Arial Narrow"/>
                <w:szCs w:val="22"/>
                <w:lang w:eastAsia="en-US"/>
              </w:rPr>
              <w:t>Należy zliczyć udostępnione on-line usługi o stopniu dojrzałości 3, których wykonanie bez wykorzystania technologii informacyjnej jest niemożliwe w formie ogólnodostępnych serwisów informacyjnych.</w:t>
            </w:r>
          </w:p>
          <w:p w:rsidR="00FA564D" w:rsidRDefault="00FA564D">
            <w:pPr>
              <w:spacing w:before="0" w:line="276" w:lineRule="auto"/>
              <w:jc w:val="both"/>
              <w:rPr>
                <w:rFonts w:ascii="Calibri" w:eastAsia="Calibri" w:hAnsi="Calibri" w:cs="Arial Narrow"/>
                <w:szCs w:val="22"/>
                <w:lang w:eastAsia="en-US"/>
              </w:rPr>
            </w:pPr>
          </w:p>
          <w:p w:rsidR="00FA564D" w:rsidRDefault="00FA564D">
            <w:pPr>
              <w:spacing w:before="0" w:line="276" w:lineRule="auto"/>
              <w:jc w:val="both"/>
              <w:rPr>
                <w:rFonts w:ascii="Calibri" w:eastAsia="Calibri" w:hAnsi="Calibri" w:cs="Arial Narrow"/>
                <w:szCs w:val="22"/>
                <w:lang w:eastAsia="en-US"/>
              </w:rPr>
            </w:pPr>
            <w:r>
              <w:rPr>
                <w:rFonts w:ascii="Calibri" w:eastAsia="Calibri" w:hAnsi="Calibri" w:cs="Arial Narrow"/>
                <w:szCs w:val="22"/>
                <w:lang w:eastAsia="en-US"/>
              </w:rPr>
              <w:t>W przypadku, gdy projekt dotyczy kilku podmiotów nie należy liczyć tych samych usług tyle razy, ile podmiotów jest zaangażowanych w projekt.</w:t>
            </w:r>
          </w:p>
          <w:p w:rsidR="00FA564D" w:rsidRDefault="00FA564D">
            <w:pPr>
              <w:autoSpaceDE w:val="0"/>
              <w:autoSpaceDN w:val="0"/>
              <w:adjustRightInd w:val="0"/>
              <w:spacing w:before="0" w:line="240" w:lineRule="auto"/>
              <w:jc w:val="both"/>
              <w:rPr>
                <w:rFonts w:ascii="Calibri" w:eastAsia="Calibri" w:hAnsi="Calibri" w:cs="Arial"/>
                <w:szCs w:val="22"/>
                <w:lang w:eastAsia="en-US"/>
              </w:rPr>
            </w:pPr>
          </w:p>
        </w:tc>
      </w:tr>
      <w:tr w:rsidR="00FA564D" w:rsidTr="00FA564D">
        <w:trPr>
          <w:trHeight w:val="20"/>
          <w:jc w:val="center"/>
        </w:trPr>
        <w:tc>
          <w:tcPr>
            <w:tcW w:w="1127" w:type="pct"/>
            <w:tcBorders>
              <w:top w:val="single" w:sz="6" w:space="0" w:color="000000" w:themeColor="text1"/>
              <w:left w:val="single" w:sz="8" w:space="0" w:color="000000" w:themeColor="text1"/>
              <w:bottom w:val="single" w:sz="6" w:space="0" w:color="000000" w:themeColor="text1"/>
              <w:right w:val="single" w:sz="6" w:space="0" w:color="000000" w:themeColor="text1"/>
            </w:tcBorders>
            <w:hideMark/>
          </w:tcPr>
          <w:p w:rsidR="00FA564D" w:rsidRDefault="00FA564D">
            <w:pPr>
              <w:spacing w:before="60" w:after="60" w:line="240" w:lineRule="auto"/>
              <w:rPr>
                <w:rFonts w:ascii="Calibri" w:hAnsi="Calibri"/>
                <w:szCs w:val="22"/>
                <w:lang w:eastAsia="en-US"/>
              </w:rPr>
            </w:pPr>
            <w:r>
              <w:rPr>
                <w:rFonts w:ascii="Calibri" w:hAnsi="Calibri"/>
                <w:szCs w:val="22"/>
                <w:lang w:eastAsia="en-US"/>
              </w:rPr>
              <w:t>Liczba podmiotów, które udostępniły on-line informacje sektora publicznego</w:t>
            </w:r>
          </w:p>
        </w:tc>
        <w:tc>
          <w:tcPr>
            <w:tcW w:w="458" w:type="pct"/>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rsidR="00FA564D" w:rsidRDefault="00FA564D">
            <w:pPr>
              <w:spacing w:line="240" w:lineRule="auto"/>
              <w:jc w:val="both"/>
              <w:rPr>
                <w:szCs w:val="22"/>
                <w:lang w:eastAsia="en-US"/>
              </w:rPr>
            </w:pPr>
            <w:r>
              <w:rPr>
                <w:rFonts w:ascii="Calibri" w:hAnsi="Calibri"/>
                <w:szCs w:val="22"/>
                <w:lang w:eastAsia="en-US"/>
              </w:rPr>
              <w:t>szt.</w:t>
            </w:r>
          </w:p>
        </w:tc>
        <w:tc>
          <w:tcPr>
            <w:tcW w:w="2442" w:type="pct"/>
            <w:tcBorders>
              <w:top w:val="single" w:sz="6" w:space="0" w:color="000000" w:themeColor="text1"/>
              <w:left w:val="single" w:sz="6" w:space="0" w:color="000000" w:themeColor="text1"/>
              <w:bottom w:val="single" w:sz="6" w:space="0" w:color="000000" w:themeColor="text1"/>
              <w:right w:val="single" w:sz="8" w:space="0" w:color="000000" w:themeColor="text1"/>
            </w:tcBorders>
            <w:hideMark/>
          </w:tcPr>
          <w:p w:rsidR="00FA564D" w:rsidRDefault="00FA564D">
            <w:pPr>
              <w:spacing w:line="240" w:lineRule="auto"/>
              <w:jc w:val="both"/>
              <w:rPr>
                <w:rFonts w:ascii="Calibri" w:hAnsi="Calibri"/>
                <w:szCs w:val="22"/>
                <w:lang w:eastAsia="en-US"/>
              </w:rPr>
            </w:pPr>
            <w:r>
              <w:rPr>
                <w:rFonts w:ascii="Calibri" w:hAnsi="Calibri"/>
                <w:szCs w:val="22"/>
                <w:lang w:eastAsia="en-US"/>
              </w:rPr>
              <w:t>Liczba podmiotów (wymienionych zgodnie z art. 9 ustawy o finansach publicznych), które w wyniku interwencji udostępniły on-line informacje sektora publicznego.</w:t>
            </w:r>
          </w:p>
          <w:p w:rsidR="00FA564D" w:rsidRDefault="00FA564D">
            <w:pPr>
              <w:spacing w:line="240" w:lineRule="auto"/>
              <w:jc w:val="both"/>
              <w:rPr>
                <w:rFonts w:ascii="Calibri" w:hAnsi="Calibri"/>
                <w:szCs w:val="22"/>
                <w:lang w:eastAsia="en-US"/>
              </w:rPr>
            </w:pPr>
            <w:r>
              <w:rPr>
                <w:rFonts w:ascii="Calibri" w:hAnsi="Calibri"/>
                <w:szCs w:val="22"/>
                <w:lang w:eastAsia="en-US"/>
              </w:rPr>
              <w:t xml:space="preserve">Przez informacje sektora publicznego należy rozumieć: </w:t>
            </w:r>
          </w:p>
          <w:p w:rsidR="00FA564D" w:rsidRDefault="00FA564D">
            <w:pPr>
              <w:spacing w:line="240" w:lineRule="auto"/>
              <w:jc w:val="both"/>
              <w:rPr>
                <w:rFonts w:ascii="Calibri" w:hAnsi="Calibri"/>
                <w:szCs w:val="22"/>
                <w:lang w:eastAsia="en-US"/>
              </w:rPr>
            </w:pPr>
            <w:r>
              <w:rPr>
                <w:rFonts w:ascii="Calibri" w:hAnsi="Calibri"/>
                <w:szCs w:val="22"/>
                <w:lang w:eastAsia="en-US"/>
              </w:rPr>
              <w:t xml:space="preserve">-  informację publiczną w rozumieniu ustawy z dnia 6 września 2001 r. o dostępie do informacji publicznej, </w:t>
            </w:r>
          </w:p>
          <w:p w:rsidR="00FA564D" w:rsidRDefault="00FA564D">
            <w:pPr>
              <w:spacing w:line="240" w:lineRule="auto"/>
              <w:jc w:val="both"/>
              <w:rPr>
                <w:rFonts w:ascii="Calibri" w:hAnsi="Calibri"/>
                <w:szCs w:val="22"/>
                <w:lang w:eastAsia="en-US"/>
              </w:rPr>
            </w:pPr>
            <w:r>
              <w:rPr>
                <w:rFonts w:ascii="Calibri" w:hAnsi="Calibri"/>
                <w:szCs w:val="22"/>
                <w:lang w:eastAsia="en-US"/>
              </w:rPr>
              <w:t xml:space="preserve">- informację sektora publicznego w rozumieniu dyrektywy 2003/98/WE dnia 17 listopada  2003  r. w sprawie ponownego wykorzystywania informacji sektora publicznego (w brzmieniu zmienionym przez dyrektywę 2013/37/UE zmieniającą dyrektywę 2003/98/WE dnia 17 listopada  2003  r.  w sprawie ponownego wykorzystywania </w:t>
            </w:r>
            <w:r>
              <w:rPr>
                <w:rFonts w:ascii="Calibri" w:hAnsi="Calibri"/>
                <w:szCs w:val="22"/>
                <w:lang w:eastAsia="en-US"/>
              </w:rPr>
              <w:lastRenderedPageBreak/>
              <w:t>informacji sektora publicznego),</w:t>
            </w:r>
          </w:p>
          <w:p w:rsidR="00FA564D" w:rsidRDefault="00FA564D">
            <w:pPr>
              <w:spacing w:line="240" w:lineRule="auto"/>
              <w:jc w:val="both"/>
              <w:rPr>
                <w:rFonts w:ascii="Calibri" w:hAnsi="Calibri"/>
                <w:szCs w:val="22"/>
                <w:lang w:eastAsia="en-US"/>
              </w:rPr>
            </w:pPr>
            <w:r>
              <w:rPr>
                <w:rFonts w:ascii="Calibri" w:hAnsi="Calibri"/>
                <w:szCs w:val="22"/>
                <w:lang w:eastAsia="en-US"/>
              </w:rPr>
              <w:t>- zasoby audiowizualne, pod warunkiem ich udostępniania do ponownego wykorzystywania,</w:t>
            </w:r>
          </w:p>
          <w:p w:rsidR="00FA564D" w:rsidRDefault="00FA564D">
            <w:pPr>
              <w:spacing w:line="240" w:lineRule="auto"/>
              <w:jc w:val="both"/>
              <w:rPr>
                <w:rFonts w:ascii="Calibri" w:hAnsi="Calibri"/>
                <w:szCs w:val="22"/>
                <w:lang w:eastAsia="en-US"/>
              </w:rPr>
            </w:pPr>
            <w:r>
              <w:rPr>
                <w:rFonts w:ascii="Calibri" w:hAnsi="Calibri"/>
                <w:szCs w:val="22"/>
                <w:lang w:eastAsia="en-US"/>
              </w:rPr>
              <w:t>- zasoby archiwalne, pod warunkiem ich udostępnienia do ponownego wykorzystania,</w:t>
            </w:r>
          </w:p>
          <w:p w:rsidR="00FA564D" w:rsidRDefault="00FA564D">
            <w:pPr>
              <w:spacing w:line="240" w:lineRule="auto"/>
              <w:jc w:val="both"/>
              <w:rPr>
                <w:rFonts w:ascii="Calibri" w:hAnsi="Calibri"/>
                <w:szCs w:val="22"/>
                <w:lang w:eastAsia="en-US"/>
              </w:rPr>
            </w:pPr>
            <w:r>
              <w:rPr>
                <w:rFonts w:ascii="Calibri" w:hAnsi="Calibri"/>
                <w:szCs w:val="22"/>
                <w:lang w:eastAsia="en-US"/>
              </w:rPr>
              <w:t>- zasoby kultury, pod warunkiem ich udostepnienia do ponownego wykorzystania.</w:t>
            </w:r>
          </w:p>
          <w:p w:rsidR="00FA564D" w:rsidRDefault="00FA564D">
            <w:pPr>
              <w:spacing w:line="240" w:lineRule="auto"/>
              <w:jc w:val="both"/>
              <w:rPr>
                <w:rFonts w:ascii="Calibri" w:hAnsi="Calibri"/>
                <w:szCs w:val="22"/>
                <w:lang w:eastAsia="en-US"/>
              </w:rPr>
            </w:pPr>
            <w:r>
              <w:rPr>
                <w:rFonts w:ascii="Calibri" w:hAnsi="Calibri"/>
                <w:szCs w:val="22"/>
                <w:lang w:eastAsia="en-US"/>
              </w:rPr>
              <w:t>- zasoby nauki, pod warunkiem ich udostępniania do ponownego wykorzystywania.</w:t>
            </w:r>
          </w:p>
          <w:p w:rsidR="00FA564D" w:rsidRDefault="00FA564D">
            <w:pPr>
              <w:spacing w:line="240" w:lineRule="auto"/>
              <w:jc w:val="both"/>
              <w:rPr>
                <w:rFonts w:ascii="Calibri" w:hAnsi="Calibri"/>
                <w:szCs w:val="22"/>
                <w:lang w:eastAsia="en-US"/>
              </w:rPr>
            </w:pPr>
            <w:r>
              <w:rPr>
                <w:rFonts w:ascii="Calibri" w:hAnsi="Calibri"/>
                <w:szCs w:val="22"/>
                <w:lang w:eastAsia="en-US"/>
              </w:rPr>
              <w:t>Metoda pomiaru: Do wartości wskaźnika wliczyć należy liczbę wszystkich podmiotów, które w wyniku realizacji projektu, udostępniły on-line informacje sektora publicznego, tj. beneficjenta, jak i partnerów.</w:t>
            </w:r>
          </w:p>
        </w:tc>
      </w:tr>
      <w:tr w:rsidR="00FA564D" w:rsidTr="00FA564D">
        <w:trPr>
          <w:trHeight w:val="20"/>
          <w:jc w:val="center"/>
        </w:trPr>
        <w:tc>
          <w:tcPr>
            <w:tcW w:w="1127" w:type="pct"/>
            <w:tcBorders>
              <w:top w:val="single" w:sz="6" w:space="0" w:color="000000" w:themeColor="text1"/>
              <w:left w:val="single" w:sz="8" w:space="0" w:color="000000" w:themeColor="text1"/>
              <w:bottom w:val="single" w:sz="8" w:space="0" w:color="000000" w:themeColor="text1"/>
              <w:right w:val="single" w:sz="6" w:space="0" w:color="000000" w:themeColor="text1"/>
            </w:tcBorders>
          </w:tcPr>
          <w:p w:rsidR="00FA564D" w:rsidRDefault="00FA564D">
            <w:pPr>
              <w:spacing w:before="40" w:after="40" w:line="240" w:lineRule="auto"/>
              <w:rPr>
                <w:rFonts w:ascii="Calibri" w:hAnsi="Calibri"/>
                <w:szCs w:val="22"/>
                <w:lang w:eastAsia="en-US"/>
              </w:rPr>
            </w:pPr>
            <w:r>
              <w:rPr>
                <w:rFonts w:ascii="Calibri" w:hAnsi="Calibri"/>
                <w:szCs w:val="22"/>
                <w:lang w:eastAsia="en-US"/>
              </w:rPr>
              <w:lastRenderedPageBreak/>
              <w:t>Liczba urzędów, które wdrożyły katalog rekomendacji dotyczących awansu cyfrowego</w:t>
            </w:r>
          </w:p>
          <w:p w:rsidR="00FA564D" w:rsidRDefault="00FA564D">
            <w:pPr>
              <w:spacing w:before="40" w:after="40" w:line="240" w:lineRule="auto"/>
              <w:ind w:left="316"/>
              <w:contextualSpacing/>
              <w:rPr>
                <w:rFonts w:ascii="Calibri" w:eastAsia="Calibri" w:hAnsi="Calibri" w:cs="Arial"/>
                <w:szCs w:val="22"/>
                <w:lang w:eastAsia="en-US"/>
              </w:rPr>
            </w:pPr>
          </w:p>
          <w:p w:rsidR="00FA564D" w:rsidRDefault="00FA564D">
            <w:pPr>
              <w:spacing w:before="40" w:after="40" w:line="240" w:lineRule="auto"/>
              <w:rPr>
                <w:rFonts w:ascii="Calibri" w:hAnsi="Calibri"/>
                <w:szCs w:val="22"/>
                <w:lang w:eastAsia="en-US"/>
              </w:rPr>
            </w:pPr>
          </w:p>
        </w:tc>
        <w:tc>
          <w:tcPr>
            <w:tcW w:w="458" w:type="pct"/>
            <w:tcBorders>
              <w:top w:val="single" w:sz="6" w:space="0" w:color="000000" w:themeColor="text1"/>
              <w:left w:val="single" w:sz="6" w:space="0" w:color="000000" w:themeColor="text1"/>
              <w:bottom w:val="single" w:sz="8" w:space="0" w:color="000000" w:themeColor="text1"/>
              <w:right w:val="single" w:sz="6" w:space="0" w:color="000000" w:themeColor="text1"/>
            </w:tcBorders>
            <w:hideMark/>
          </w:tcPr>
          <w:p w:rsidR="00FA564D" w:rsidRDefault="00FA564D">
            <w:pPr>
              <w:spacing w:line="240" w:lineRule="auto"/>
              <w:jc w:val="both"/>
              <w:rPr>
                <w:szCs w:val="22"/>
                <w:lang w:eastAsia="en-US"/>
              </w:rPr>
            </w:pPr>
            <w:r>
              <w:rPr>
                <w:rFonts w:ascii="Calibri" w:hAnsi="Calibri"/>
                <w:szCs w:val="22"/>
                <w:lang w:eastAsia="en-US"/>
              </w:rPr>
              <w:t>szt.</w:t>
            </w:r>
          </w:p>
        </w:tc>
        <w:tc>
          <w:tcPr>
            <w:tcW w:w="2442" w:type="pct"/>
            <w:tcBorders>
              <w:top w:val="single" w:sz="6" w:space="0" w:color="000000" w:themeColor="text1"/>
              <w:left w:val="single" w:sz="6" w:space="0" w:color="000000" w:themeColor="text1"/>
              <w:bottom w:val="single" w:sz="8" w:space="0" w:color="000000" w:themeColor="text1"/>
              <w:right w:val="single" w:sz="8" w:space="0" w:color="000000" w:themeColor="text1"/>
            </w:tcBorders>
          </w:tcPr>
          <w:p w:rsidR="00FA564D" w:rsidRDefault="00FA564D">
            <w:pPr>
              <w:autoSpaceDE w:val="0"/>
              <w:autoSpaceDN w:val="0"/>
              <w:adjustRightInd w:val="0"/>
              <w:spacing w:before="0" w:line="240" w:lineRule="auto"/>
              <w:rPr>
                <w:rFonts w:ascii="Calibri" w:hAnsi="Calibri"/>
                <w:b/>
                <w:szCs w:val="22"/>
                <w:lang w:eastAsia="en-US"/>
              </w:rPr>
            </w:pPr>
            <w:r>
              <w:rPr>
                <w:rFonts w:ascii="Calibri" w:hAnsi="Calibri"/>
                <w:b/>
                <w:szCs w:val="22"/>
                <w:lang w:eastAsia="en-US"/>
              </w:rPr>
              <w:t>Definicja wskaźnika na potrzeby ogłaszanego konkursu:</w:t>
            </w:r>
          </w:p>
          <w:p w:rsidR="00FA564D" w:rsidRDefault="00FA564D">
            <w:pPr>
              <w:autoSpaceDE w:val="0"/>
              <w:autoSpaceDN w:val="0"/>
              <w:adjustRightInd w:val="0"/>
              <w:spacing w:before="0" w:line="240" w:lineRule="auto"/>
              <w:rPr>
                <w:rFonts w:ascii="Calibri" w:hAnsi="Calibri"/>
                <w:b/>
                <w:szCs w:val="22"/>
                <w:lang w:eastAsia="en-US"/>
              </w:rPr>
            </w:pPr>
          </w:p>
          <w:p w:rsidR="00FA564D" w:rsidRDefault="00FA564D">
            <w:pPr>
              <w:autoSpaceDE w:val="0"/>
              <w:autoSpaceDN w:val="0"/>
              <w:adjustRightInd w:val="0"/>
              <w:spacing w:before="0" w:line="240" w:lineRule="auto"/>
              <w:jc w:val="both"/>
              <w:rPr>
                <w:rFonts w:ascii="Calibri" w:hAnsi="Calibri"/>
                <w:szCs w:val="22"/>
                <w:lang w:eastAsia="en-US"/>
              </w:rPr>
            </w:pPr>
            <w:r>
              <w:rPr>
                <w:rFonts w:ascii="Calibri" w:hAnsi="Calibri"/>
                <w:szCs w:val="22"/>
                <w:lang w:eastAsia="en-US"/>
              </w:rPr>
              <w:t xml:space="preserve">Ze względu na brak opracowanego przez ministra właściwego do spraw informatyzacji </w:t>
            </w:r>
            <w:r>
              <w:rPr>
                <w:rFonts w:ascii="Calibri" w:hAnsi="Calibri"/>
                <w:b/>
                <w:szCs w:val="22"/>
                <w:lang w:eastAsia="en-US"/>
              </w:rPr>
              <w:t>katalogu rekomendacji awansu cyfrowego (tzw. Katalog Rekomendacji Cyfrowego Urzędu - KRCU</w:t>
            </w:r>
            <w:r>
              <w:rPr>
                <w:rFonts w:ascii="Calibri" w:hAnsi="Calibri"/>
                <w:szCs w:val="22"/>
                <w:lang w:eastAsia="en-US"/>
              </w:rPr>
              <w:t xml:space="preserve">), wskaźnik może być wykorzystywany </w:t>
            </w:r>
            <w:r>
              <w:rPr>
                <w:rFonts w:ascii="Calibri" w:hAnsi="Calibri"/>
                <w:szCs w:val="22"/>
                <w:lang w:eastAsia="en-US"/>
              </w:rPr>
              <w:br/>
              <w:t>w projektach administracji publicznej,  przewidujących wsparcie rozwiązań „</w:t>
            </w:r>
            <w:proofErr w:type="spellStart"/>
            <w:r>
              <w:rPr>
                <w:rFonts w:ascii="Calibri" w:hAnsi="Calibri"/>
                <w:szCs w:val="22"/>
                <w:lang w:eastAsia="en-US"/>
              </w:rPr>
              <w:t>back-office</w:t>
            </w:r>
            <w:proofErr w:type="spellEnd"/>
            <w:r>
              <w:rPr>
                <w:rFonts w:ascii="Calibri" w:hAnsi="Calibri"/>
                <w:szCs w:val="22"/>
                <w:lang w:eastAsia="en-US"/>
              </w:rPr>
              <w:t>” .</w:t>
            </w:r>
          </w:p>
          <w:p w:rsidR="00FA564D" w:rsidRDefault="00FA564D">
            <w:pPr>
              <w:autoSpaceDE w:val="0"/>
              <w:autoSpaceDN w:val="0"/>
              <w:adjustRightInd w:val="0"/>
              <w:spacing w:before="0" w:line="240" w:lineRule="auto"/>
              <w:jc w:val="both"/>
              <w:rPr>
                <w:rFonts w:ascii="Calibri" w:hAnsi="Calibri"/>
                <w:szCs w:val="22"/>
                <w:lang w:eastAsia="en-US"/>
              </w:rPr>
            </w:pPr>
          </w:p>
          <w:p w:rsidR="00FA564D" w:rsidRDefault="00FA564D">
            <w:pPr>
              <w:autoSpaceDE w:val="0"/>
              <w:autoSpaceDN w:val="0"/>
              <w:adjustRightInd w:val="0"/>
              <w:spacing w:before="0" w:line="240" w:lineRule="auto"/>
              <w:jc w:val="both"/>
              <w:rPr>
                <w:rFonts w:ascii="Calibri" w:hAnsi="Calibri"/>
                <w:szCs w:val="22"/>
                <w:lang w:eastAsia="en-US"/>
              </w:rPr>
            </w:pPr>
            <w:r>
              <w:rPr>
                <w:rFonts w:ascii="Calibri" w:hAnsi="Calibri"/>
                <w:szCs w:val="22"/>
                <w:lang w:eastAsia="en-US"/>
              </w:rPr>
              <w:t>Wnioskodawca wybierając ten wskaźnik, musi dokonać „samooceny”.</w:t>
            </w:r>
          </w:p>
          <w:p w:rsidR="00FA564D" w:rsidRDefault="00FA564D">
            <w:pPr>
              <w:autoSpaceDE w:val="0"/>
              <w:autoSpaceDN w:val="0"/>
              <w:adjustRightInd w:val="0"/>
              <w:spacing w:before="0" w:line="240" w:lineRule="auto"/>
              <w:rPr>
                <w:rFonts w:ascii="Calibri" w:hAnsi="Calibri"/>
                <w:szCs w:val="22"/>
                <w:lang w:eastAsia="en-US"/>
              </w:rPr>
            </w:pPr>
          </w:p>
          <w:p w:rsidR="00FA564D" w:rsidRDefault="00FA564D" w:rsidP="00F9235E">
            <w:pPr>
              <w:autoSpaceDE w:val="0"/>
              <w:autoSpaceDN w:val="0"/>
              <w:adjustRightInd w:val="0"/>
              <w:spacing w:before="0" w:line="240" w:lineRule="auto"/>
              <w:rPr>
                <w:rFonts w:ascii="Calibri" w:hAnsi="Calibri"/>
                <w:szCs w:val="22"/>
                <w:lang w:eastAsia="en-US"/>
              </w:rPr>
            </w:pPr>
            <w:r>
              <w:rPr>
                <w:rFonts w:ascii="Calibri" w:hAnsi="Calibri"/>
                <w:szCs w:val="22"/>
                <w:lang w:eastAsia="en-US"/>
              </w:rPr>
              <w:t xml:space="preserve"> </w:t>
            </w:r>
            <w:r>
              <w:rPr>
                <w:rFonts w:ascii="Calibri" w:hAnsi="Calibri"/>
                <w:b/>
                <w:szCs w:val="22"/>
                <w:lang w:eastAsia="en-US"/>
              </w:rPr>
              <w:t>Samoocena</w:t>
            </w:r>
            <w:r>
              <w:rPr>
                <w:rFonts w:ascii="Calibri" w:hAnsi="Calibri"/>
                <w:szCs w:val="22"/>
                <w:lang w:eastAsia="en-US"/>
              </w:rPr>
              <w:t xml:space="preserve"> - analiza stanu cyfryzacji jednostki  (w oparciu o formularz zamieszczony na stronie</w:t>
            </w:r>
            <w:r w:rsidR="00F9235E">
              <w:rPr>
                <w:rFonts w:ascii="Calibri" w:hAnsi="Calibri"/>
                <w:szCs w:val="22"/>
                <w:lang w:eastAsia="en-US"/>
              </w:rPr>
              <w:t xml:space="preserve">: </w:t>
            </w:r>
            <w:hyperlink r:id="rId10" w:history="1">
              <w:r w:rsidR="00F9235E" w:rsidRPr="00F9235E">
                <w:rPr>
                  <w:rStyle w:val="Hipercze"/>
                  <w:rFonts w:ascii="Calibri" w:hAnsi="Calibri" w:cs="Arial"/>
                </w:rPr>
                <w:t>www.rpo.dolnyslask.pl</w:t>
              </w:r>
            </w:hyperlink>
            <w:r w:rsidRPr="00F9235E">
              <w:rPr>
                <w:rFonts w:ascii="Calibri" w:hAnsi="Calibri"/>
                <w:szCs w:val="22"/>
                <w:lang w:eastAsia="en-US"/>
              </w:rPr>
              <w:t>)</w:t>
            </w:r>
            <w:r>
              <w:rPr>
                <w:rFonts w:ascii="Calibri" w:hAnsi="Calibri"/>
                <w:szCs w:val="22"/>
                <w:lang w:eastAsia="en-US"/>
              </w:rPr>
              <w:t>.</w:t>
            </w:r>
          </w:p>
          <w:p w:rsidR="00FA564D" w:rsidRDefault="00FA564D">
            <w:pPr>
              <w:autoSpaceDE w:val="0"/>
              <w:autoSpaceDN w:val="0"/>
              <w:adjustRightInd w:val="0"/>
              <w:spacing w:before="0" w:line="240" w:lineRule="auto"/>
              <w:jc w:val="both"/>
              <w:rPr>
                <w:rFonts w:ascii="Calibri" w:hAnsi="Calibri"/>
                <w:szCs w:val="22"/>
                <w:lang w:eastAsia="en-US"/>
              </w:rPr>
            </w:pPr>
          </w:p>
          <w:p w:rsidR="00FA564D" w:rsidRDefault="00FA564D">
            <w:pPr>
              <w:autoSpaceDE w:val="0"/>
              <w:autoSpaceDN w:val="0"/>
              <w:adjustRightInd w:val="0"/>
              <w:spacing w:before="0" w:line="240" w:lineRule="auto"/>
              <w:jc w:val="both"/>
              <w:rPr>
                <w:rFonts w:ascii="Calibri" w:hAnsi="Calibri"/>
                <w:szCs w:val="22"/>
                <w:lang w:eastAsia="en-US"/>
              </w:rPr>
            </w:pPr>
            <w:r>
              <w:rPr>
                <w:rFonts w:ascii="Calibri" w:hAnsi="Calibri"/>
                <w:szCs w:val="22"/>
                <w:lang w:eastAsia="en-US"/>
              </w:rPr>
              <w:t xml:space="preserve">W przypadku projektów partnerskich samoocena musi zostać dokonana przez każdego partnera z osobna. </w:t>
            </w:r>
          </w:p>
          <w:p w:rsidR="00FA564D" w:rsidRDefault="00FA564D">
            <w:pPr>
              <w:autoSpaceDE w:val="0"/>
              <w:autoSpaceDN w:val="0"/>
              <w:adjustRightInd w:val="0"/>
              <w:spacing w:before="0" w:line="240" w:lineRule="auto"/>
              <w:jc w:val="both"/>
              <w:rPr>
                <w:rFonts w:ascii="Calibri" w:hAnsi="Calibri"/>
                <w:szCs w:val="22"/>
                <w:lang w:eastAsia="en-US"/>
              </w:rPr>
            </w:pPr>
          </w:p>
          <w:p w:rsidR="00FA564D" w:rsidRDefault="00FA564D">
            <w:pPr>
              <w:autoSpaceDE w:val="0"/>
              <w:autoSpaceDN w:val="0"/>
              <w:adjustRightInd w:val="0"/>
              <w:spacing w:before="0" w:line="240" w:lineRule="auto"/>
              <w:jc w:val="both"/>
              <w:rPr>
                <w:rFonts w:ascii="Calibri" w:hAnsi="Calibri"/>
                <w:szCs w:val="22"/>
                <w:lang w:eastAsia="en-US"/>
              </w:rPr>
            </w:pPr>
            <w:r>
              <w:rPr>
                <w:rFonts w:ascii="Calibri" w:hAnsi="Calibri"/>
                <w:szCs w:val="22"/>
                <w:lang w:eastAsia="en-US"/>
              </w:rPr>
              <w:t>Metoda pomiaru: Urzędy mogą składać się z biur/placówek pozamiejscowych /delegatur itp. Urząd jest aparatem pomocniczym organów administracji publicznej, w tym jednostek podległych i nadzorowanych. Wskaźnik obejmuje liczbę wszystkich urzędów, które dokonały samooceny, w tym poszczególnych partnerów wdrażających rozwiązania informatyczne będące przedmiotem wspólnego projektu.</w:t>
            </w:r>
          </w:p>
          <w:p w:rsidR="00FA564D" w:rsidRDefault="00FA564D">
            <w:pPr>
              <w:autoSpaceDE w:val="0"/>
              <w:autoSpaceDN w:val="0"/>
              <w:adjustRightInd w:val="0"/>
              <w:spacing w:before="0" w:line="240" w:lineRule="auto"/>
              <w:jc w:val="both"/>
              <w:rPr>
                <w:rFonts w:ascii="Calibri" w:hAnsi="Calibri"/>
                <w:b/>
                <w:szCs w:val="22"/>
                <w:lang w:eastAsia="en-US"/>
              </w:rPr>
            </w:pPr>
          </w:p>
        </w:tc>
      </w:tr>
    </w:tbl>
    <w:p w:rsidR="00FA564D" w:rsidRDefault="00FA564D" w:rsidP="00FA564D">
      <w:pPr>
        <w:spacing w:line="240" w:lineRule="auto"/>
        <w:rPr>
          <w:szCs w:val="22"/>
        </w:rPr>
      </w:pPr>
    </w:p>
    <w:p w:rsidR="001D6BB2" w:rsidRPr="00911273" w:rsidRDefault="001D6BB2" w:rsidP="007650AC">
      <w:pPr>
        <w:spacing w:line="240" w:lineRule="auto"/>
        <w:rPr>
          <w:szCs w:val="22"/>
        </w:rPr>
      </w:pPr>
    </w:p>
    <w:sectPr w:rsidR="001D6BB2" w:rsidRPr="00911273" w:rsidSect="009456DB">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930" w:rsidRDefault="00522930" w:rsidP="008C495E">
      <w:pPr>
        <w:spacing w:before="0" w:line="240" w:lineRule="auto"/>
      </w:pPr>
      <w:r>
        <w:separator/>
      </w:r>
    </w:p>
  </w:endnote>
  <w:endnote w:type="continuationSeparator" w:id="0">
    <w:p w:rsidR="00522930" w:rsidRDefault="00522930" w:rsidP="008C495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
    <w:altName w:val="Arial"/>
    <w:charset w:val="00"/>
    <w:family w:val="swiss"/>
    <w:pitch w:val="default"/>
    <w:sig w:usb0="00000003" w:usb1="00000000" w:usb2="00000000" w:usb3="00000000" w:csb0="00000001" w:csb1="00000000"/>
  </w:font>
  <w:font w:name="Verdana">
    <w:altName w:val="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930" w:rsidRDefault="00522930" w:rsidP="008C495E">
      <w:pPr>
        <w:spacing w:before="0" w:line="240" w:lineRule="auto"/>
      </w:pPr>
      <w:r>
        <w:separator/>
      </w:r>
    </w:p>
  </w:footnote>
  <w:footnote w:type="continuationSeparator" w:id="0">
    <w:p w:rsidR="00522930" w:rsidRDefault="00522930" w:rsidP="008C495E">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78F" w:rsidRPr="00C0278F" w:rsidRDefault="00C0278F" w:rsidP="00C0278F">
    <w:pPr>
      <w:pStyle w:val="Nagwek"/>
      <w:spacing w:before="120" w:after="120"/>
      <w:jc w:val="right"/>
      <w:rPr>
        <w:rFonts w:asciiTheme="minorHAnsi" w:hAnsiTheme="minorHAnsi"/>
        <w:sz w:val="20"/>
      </w:rPr>
    </w:pPr>
    <w:r>
      <w:tab/>
    </w:r>
    <w:r w:rsidRPr="00C0278F">
      <w:rPr>
        <w:rFonts w:asciiTheme="minorHAnsi" w:hAnsiTheme="minorHAnsi"/>
        <w:sz w:val="20"/>
      </w:rPr>
      <w:t xml:space="preserve">Załącznik  nr 4 do Regulaminu konkursu </w:t>
    </w:r>
  </w:p>
  <w:p w:rsidR="00875BA2" w:rsidRPr="00875BA2" w:rsidRDefault="00C0278F" w:rsidP="00875BA2">
    <w:pPr>
      <w:jc w:val="right"/>
      <w:rPr>
        <w:rFonts w:ascii="Calibri" w:hAnsi="Calibri"/>
        <w:color w:val="FF0000"/>
        <w:sz w:val="20"/>
      </w:rPr>
    </w:pPr>
    <w:r w:rsidRPr="00875BA2">
      <w:rPr>
        <w:rFonts w:asciiTheme="minorHAnsi" w:hAnsiTheme="minorHAnsi"/>
        <w:sz w:val="20"/>
      </w:rPr>
      <w:t xml:space="preserve">Nr naboru </w:t>
    </w:r>
    <w:r w:rsidR="003439A5" w:rsidRPr="003439A5">
      <w:rPr>
        <w:rFonts w:asciiTheme="minorHAnsi" w:hAnsiTheme="minorHAnsi"/>
        <w:sz w:val="20"/>
      </w:rPr>
      <w:t>RPDS.02.01.02-IZ.00-02-046/15</w:t>
    </w:r>
  </w:p>
  <w:p w:rsidR="00C0278F" w:rsidRDefault="00C0278F" w:rsidP="00C0278F">
    <w:pPr>
      <w:pStyle w:val="Nagwek"/>
      <w:tabs>
        <w:tab w:val="clear" w:pos="4536"/>
        <w:tab w:val="clear" w:pos="9072"/>
        <w:tab w:val="left" w:pos="672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3400"/>
    <w:multiLevelType w:val="hybridMultilevel"/>
    <w:tmpl w:val="29842B04"/>
    <w:lvl w:ilvl="0" w:tplc="8F34353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
    <w:nsid w:val="0AB91192"/>
    <w:multiLevelType w:val="multilevel"/>
    <w:tmpl w:val="23781834"/>
    <w:lvl w:ilvl="0">
      <w:start w:val="1"/>
      <w:numFmt w:val="decimal"/>
      <w:lvlText w:val="%1."/>
      <w:lvlJc w:val="left"/>
      <w:pPr>
        <w:ind w:left="360" w:hanging="360"/>
      </w:pPr>
      <w:rPr>
        <w:rFonts w:ascii="Calibri" w:hAnsi="Calibri" w:cs="Times New Roman" w:hint="default"/>
        <w:b/>
        <w:i w:val="0"/>
        <w:sz w:val="24"/>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0ACC7735"/>
    <w:multiLevelType w:val="hybridMultilevel"/>
    <w:tmpl w:val="1B8626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B7715B7"/>
    <w:multiLevelType w:val="hybridMultilevel"/>
    <w:tmpl w:val="70A03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5419B7"/>
    <w:multiLevelType w:val="hybridMultilevel"/>
    <w:tmpl w:val="35F6A7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6DB5CBB"/>
    <w:multiLevelType w:val="hybridMultilevel"/>
    <w:tmpl w:val="6DB89E2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31FB1A21"/>
    <w:multiLevelType w:val="hybridMultilevel"/>
    <w:tmpl w:val="78B2AF7E"/>
    <w:lvl w:ilvl="0" w:tplc="0EC8615E">
      <w:start w:val="1"/>
      <w:numFmt w:val="decimal"/>
      <w:lvlText w:val="%1)"/>
      <w:lvlJc w:val="left"/>
      <w:pPr>
        <w:ind w:left="360" w:hanging="360"/>
      </w:pPr>
      <w:rPr>
        <w:rFonts w:ascii="Calibri" w:hAnsi="Calibri" w:cs="Times New Roman" w:hint="default"/>
        <w:b w:val="0"/>
        <w:i w:val="0"/>
        <w:color w:val="00000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nsid w:val="6F140FCE"/>
    <w:multiLevelType w:val="hybridMultilevel"/>
    <w:tmpl w:val="C97423EA"/>
    <w:lvl w:ilvl="0" w:tplc="1464A468">
      <w:numFmt w:val="bullet"/>
      <w:lvlText w:val="-"/>
      <w:lvlJc w:val="left"/>
      <w:pPr>
        <w:ind w:left="720" w:hanging="360"/>
      </w:pPr>
      <w:rPr>
        <w:rFonts w:ascii="Calibri" w:eastAsia="Times New Roman"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6F4E6257"/>
    <w:multiLevelType w:val="hybridMultilevel"/>
    <w:tmpl w:val="3E6ADC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8"/>
  </w:num>
  <w:num w:numId="3">
    <w:abstractNumId w:val="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3"/>
  </w:num>
  <w:num w:numId="8">
    <w:abstractNumId w:val="0"/>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95E"/>
    <w:rsid w:val="00094C3F"/>
    <w:rsid w:val="000B769F"/>
    <w:rsid w:val="000C263C"/>
    <w:rsid w:val="000F0960"/>
    <w:rsid w:val="000F36CA"/>
    <w:rsid w:val="000F5C98"/>
    <w:rsid w:val="00141571"/>
    <w:rsid w:val="0015486C"/>
    <w:rsid w:val="001722F7"/>
    <w:rsid w:val="00191605"/>
    <w:rsid w:val="001C4F9E"/>
    <w:rsid w:val="001D6BB2"/>
    <w:rsid w:val="001F0994"/>
    <w:rsid w:val="00221FB2"/>
    <w:rsid w:val="00243BE7"/>
    <w:rsid w:val="00253FAA"/>
    <w:rsid w:val="002972E4"/>
    <w:rsid w:val="002D5507"/>
    <w:rsid w:val="002F6273"/>
    <w:rsid w:val="0032765F"/>
    <w:rsid w:val="00340A6B"/>
    <w:rsid w:val="003439A5"/>
    <w:rsid w:val="00370466"/>
    <w:rsid w:val="003828CF"/>
    <w:rsid w:val="00394021"/>
    <w:rsid w:val="00395460"/>
    <w:rsid w:val="003C55C7"/>
    <w:rsid w:val="003D2C3D"/>
    <w:rsid w:val="003D3BC5"/>
    <w:rsid w:val="0041446A"/>
    <w:rsid w:val="00421C29"/>
    <w:rsid w:val="0046263E"/>
    <w:rsid w:val="00471B0C"/>
    <w:rsid w:val="00476947"/>
    <w:rsid w:val="004B303A"/>
    <w:rsid w:val="00516B06"/>
    <w:rsid w:val="00522930"/>
    <w:rsid w:val="00533835"/>
    <w:rsid w:val="00535E8F"/>
    <w:rsid w:val="00551AA2"/>
    <w:rsid w:val="00555321"/>
    <w:rsid w:val="005657D8"/>
    <w:rsid w:val="005D6A14"/>
    <w:rsid w:val="0060140B"/>
    <w:rsid w:val="00620A45"/>
    <w:rsid w:val="00635DB0"/>
    <w:rsid w:val="006527A1"/>
    <w:rsid w:val="006A09F0"/>
    <w:rsid w:val="006C652C"/>
    <w:rsid w:val="006D1625"/>
    <w:rsid w:val="00701E65"/>
    <w:rsid w:val="00704B1F"/>
    <w:rsid w:val="007300ED"/>
    <w:rsid w:val="00741B27"/>
    <w:rsid w:val="0075376D"/>
    <w:rsid w:val="007650AC"/>
    <w:rsid w:val="00786332"/>
    <w:rsid w:val="00787387"/>
    <w:rsid w:val="007D1CF1"/>
    <w:rsid w:val="007D7DE7"/>
    <w:rsid w:val="007E025A"/>
    <w:rsid w:val="007E6D53"/>
    <w:rsid w:val="008374FF"/>
    <w:rsid w:val="00875BA2"/>
    <w:rsid w:val="008A09D1"/>
    <w:rsid w:val="008A195C"/>
    <w:rsid w:val="008B21E1"/>
    <w:rsid w:val="008C495E"/>
    <w:rsid w:val="008E3F0D"/>
    <w:rsid w:val="008E5605"/>
    <w:rsid w:val="009024D3"/>
    <w:rsid w:val="00911273"/>
    <w:rsid w:val="009456DB"/>
    <w:rsid w:val="00977586"/>
    <w:rsid w:val="009D3C56"/>
    <w:rsid w:val="009E33FB"/>
    <w:rsid w:val="009E65D0"/>
    <w:rsid w:val="00AD2437"/>
    <w:rsid w:val="00AD42CF"/>
    <w:rsid w:val="00B03E40"/>
    <w:rsid w:val="00B204DD"/>
    <w:rsid w:val="00B2284A"/>
    <w:rsid w:val="00B235B0"/>
    <w:rsid w:val="00B62340"/>
    <w:rsid w:val="00B840A9"/>
    <w:rsid w:val="00B87D03"/>
    <w:rsid w:val="00BC03CE"/>
    <w:rsid w:val="00BD4047"/>
    <w:rsid w:val="00BF12CE"/>
    <w:rsid w:val="00C0278F"/>
    <w:rsid w:val="00C10532"/>
    <w:rsid w:val="00C40E8D"/>
    <w:rsid w:val="00C90F5E"/>
    <w:rsid w:val="00CC7758"/>
    <w:rsid w:val="00CD28DA"/>
    <w:rsid w:val="00CF69D1"/>
    <w:rsid w:val="00D03CAB"/>
    <w:rsid w:val="00D11CB4"/>
    <w:rsid w:val="00D11E26"/>
    <w:rsid w:val="00D17338"/>
    <w:rsid w:val="00D5098A"/>
    <w:rsid w:val="00D93881"/>
    <w:rsid w:val="00E2644E"/>
    <w:rsid w:val="00E32B6F"/>
    <w:rsid w:val="00E61834"/>
    <w:rsid w:val="00E72468"/>
    <w:rsid w:val="00E90CA0"/>
    <w:rsid w:val="00F02218"/>
    <w:rsid w:val="00F059C7"/>
    <w:rsid w:val="00F11106"/>
    <w:rsid w:val="00F22449"/>
    <w:rsid w:val="00F41AB5"/>
    <w:rsid w:val="00F9235E"/>
    <w:rsid w:val="00FA564D"/>
    <w:rsid w:val="00FC6B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5BA2"/>
    <w:pPr>
      <w:spacing w:before="200" w:after="0" w:line="320" w:lineRule="atLeast"/>
    </w:pPr>
    <w:rPr>
      <w:rFonts w:ascii="Arial" w:eastAsia="Times New Roman" w:hAnsi="Arial" w:cs="Times New Roman"/>
      <w:szCs w:val="20"/>
      <w:lang w:eastAsia="pl-PL"/>
    </w:rPr>
  </w:style>
  <w:style w:type="paragraph" w:styleId="Nagwek1">
    <w:name w:val="heading 1"/>
    <w:basedOn w:val="Normalny"/>
    <w:next w:val="Normalny"/>
    <w:link w:val="Nagwek1Znak"/>
    <w:uiPriority w:val="99"/>
    <w:qFormat/>
    <w:rsid w:val="008C495E"/>
    <w:pPr>
      <w:keepNext/>
      <w:spacing w:before="240" w:after="60"/>
      <w:outlineLvl w:val="0"/>
    </w:pPr>
    <w:rPr>
      <w:rFonts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C495E"/>
    <w:rPr>
      <w:rFonts w:ascii="Arial" w:eastAsia="Times New Roman" w:hAnsi="Arial" w:cs="Arial"/>
      <w:b/>
      <w:bCs/>
      <w:kern w:val="32"/>
      <w:sz w:val="32"/>
      <w:szCs w:val="32"/>
      <w:lang w:eastAsia="pl-PL"/>
    </w:rPr>
  </w:style>
  <w:style w:type="paragraph" w:styleId="Akapitzlist">
    <w:name w:val="List Paragraph"/>
    <w:basedOn w:val="Normalny"/>
    <w:link w:val="AkapitzlistZnak"/>
    <w:uiPriority w:val="34"/>
    <w:qFormat/>
    <w:rsid w:val="008C495E"/>
    <w:pPr>
      <w:ind w:left="708"/>
    </w:pPr>
  </w:style>
  <w:style w:type="character" w:customStyle="1" w:styleId="AkapitzlistZnak">
    <w:name w:val="Akapit z listą Znak"/>
    <w:link w:val="Akapitzlist"/>
    <w:uiPriority w:val="34"/>
    <w:rsid w:val="008C495E"/>
    <w:rPr>
      <w:rFonts w:ascii="Arial" w:eastAsia="Times New Roman" w:hAnsi="Arial" w:cs="Times New Roman"/>
      <w:szCs w:val="20"/>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link w:val="TekstprzypisudolnegoZnak"/>
    <w:qFormat/>
    <w:rsid w:val="008C495E"/>
    <w:pPr>
      <w:spacing w:before="0" w:line="240" w:lineRule="auto"/>
    </w:pPr>
    <w:rPr>
      <w:rFonts w:ascii="Times New Roman" w:hAnsi="Times New Roman"/>
      <w:sz w:val="20"/>
      <w:szCs w:val="24"/>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Znak Znak,o Znak,fn Znak"/>
    <w:basedOn w:val="Domylnaczcionkaakapitu"/>
    <w:link w:val="Tekstprzypisudolnego"/>
    <w:rsid w:val="008C495E"/>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8C495E"/>
    <w:rPr>
      <w:vertAlign w:val="superscript"/>
    </w:rPr>
  </w:style>
  <w:style w:type="paragraph" w:customStyle="1" w:styleId="Default">
    <w:name w:val="Default"/>
    <w:rsid w:val="008C495E"/>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table" w:styleId="Tabela-Siatka">
    <w:name w:val="Table Grid"/>
    <w:basedOn w:val="Standardowy"/>
    <w:uiPriority w:val="59"/>
    <w:rsid w:val="008C49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11273"/>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1273"/>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370466"/>
    <w:rPr>
      <w:sz w:val="16"/>
      <w:szCs w:val="16"/>
    </w:rPr>
  </w:style>
  <w:style w:type="paragraph" w:styleId="Tekstkomentarza">
    <w:name w:val="annotation text"/>
    <w:basedOn w:val="Normalny"/>
    <w:link w:val="TekstkomentarzaZnak"/>
    <w:uiPriority w:val="99"/>
    <w:unhideWhenUsed/>
    <w:rsid w:val="00370466"/>
    <w:pPr>
      <w:spacing w:line="240" w:lineRule="auto"/>
    </w:pPr>
    <w:rPr>
      <w:sz w:val="20"/>
    </w:rPr>
  </w:style>
  <w:style w:type="character" w:customStyle="1" w:styleId="TekstkomentarzaZnak">
    <w:name w:val="Tekst komentarza Znak"/>
    <w:basedOn w:val="Domylnaczcionkaakapitu"/>
    <w:link w:val="Tekstkomentarza"/>
    <w:uiPriority w:val="99"/>
    <w:rsid w:val="00370466"/>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0466"/>
    <w:rPr>
      <w:b/>
      <w:bCs/>
    </w:rPr>
  </w:style>
  <w:style w:type="character" w:customStyle="1" w:styleId="TematkomentarzaZnak">
    <w:name w:val="Temat komentarza Znak"/>
    <w:basedOn w:val="TekstkomentarzaZnak"/>
    <w:link w:val="Tematkomentarza"/>
    <w:uiPriority w:val="99"/>
    <w:semiHidden/>
    <w:rsid w:val="00370466"/>
    <w:rPr>
      <w:rFonts w:ascii="Arial" w:eastAsia="Times New Roman" w:hAnsi="Arial" w:cs="Times New Roman"/>
      <w:b/>
      <w:bCs/>
      <w:sz w:val="20"/>
      <w:szCs w:val="20"/>
      <w:lang w:eastAsia="pl-PL"/>
    </w:rPr>
  </w:style>
  <w:style w:type="paragraph" w:styleId="Nagwek">
    <w:name w:val="header"/>
    <w:aliases w:val="Znak Znak,Znak"/>
    <w:basedOn w:val="Normalny"/>
    <w:link w:val="NagwekZnak"/>
    <w:uiPriority w:val="99"/>
    <w:unhideWhenUsed/>
    <w:rsid w:val="00C0278F"/>
    <w:pPr>
      <w:tabs>
        <w:tab w:val="center" w:pos="4536"/>
        <w:tab w:val="right" w:pos="9072"/>
      </w:tabs>
      <w:spacing w:before="0" w:line="240" w:lineRule="auto"/>
    </w:pPr>
  </w:style>
  <w:style w:type="character" w:customStyle="1" w:styleId="NagwekZnak">
    <w:name w:val="Nagłówek Znak"/>
    <w:aliases w:val="Znak Znak Znak,Znak Znak1"/>
    <w:basedOn w:val="Domylnaczcionkaakapitu"/>
    <w:link w:val="Nagwek"/>
    <w:uiPriority w:val="99"/>
    <w:rsid w:val="00C0278F"/>
    <w:rPr>
      <w:rFonts w:ascii="Arial" w:eastAsia="Times New Roman" w:hAnsi="Arial" w:cs="Times New Roman"/>
      <w:szCs w:val="20"/>
      <w:lang w:eastAsia="pl-PL"/>
    </w:rPr>
  </w:style>
  <w:style w:type="paragraph" w:styleId="Stopka">
    <w:name w:val="footer"/>
    <w:basedOn w:val="Normalny"/>
    <w:link w:val="StopkaZnak"/>
    <w:uiPriority w:val="99"/>
    <w:unhideWhenUsed/>
    <w:rsid w:val="00C0278F"/>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0278F"/>
    <w:rPr>
      <w:rFonts w:ascii="Arial" w:eastAsia="Times New Roman" w:hAnsi="Arial" w:cs="Times New Roman"/>
      <w:szCs w:val="20"/>
      <w:lang w:eastAsia="pl-PL"/>
    </w:rPr>
  </w:style>
  <w:style w:type="character" w:styleId="Hipercze">
    <w:name w:val="Hyperlink"/>
    <w:basedOn w:val="Domylnaczcionkaakapitu"/>
    <w:unhideWhenUsed/>
    <w:rsid w:val="00F923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5BA2"/>
    <w:pPr>
      <w:spacing w:before="200" w:after="0" w:line="320" w:lineRule="atLeast"/>
    </w:pPr>
    <w:rPr>
      <w:rFonts w:ascii="Arial" w:eastAsia="Times New Roman" w:hAnsi="Arial" w:cs="Times New Roman"/>
      <w:szCs w:val="20"/>
      <w:lang w:eastAsia="pl-PL"/>
    </w:rPr>
  </w:style>
  <w:style w:type="paragraph" w:styleId="Nagwek1">
    <w:name w:val="heading 1"/>
    <w:basedOn w:val="Normalny"/>
    <w:next w:val="Normalny"/>
    <w:link w:val="Nagwek1Znak"/>
    <w:uiPriority w:val="99"/>
    <w:qFormat/>
    <w:rsid w:val="008C495E"/>
    <w:pPr>
      <w:keepNext/>
      <w:spacing w:before="240" w:after="60"/>
      <w:outlineLvl w:val="0"/>
    </w:pPr>
    <w:rPr>
      <w:rFonts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8C495E"/>
    <w:rPr>
      <w:rFonts w:ascii="Arial" w:eastAsia="Times New Roman" w:hAnsi="Arial" w:cs="Arial"/>
      <w:b/>
      <w:bCs/>
      <w:kern w:val="32"/>
      <w:sz w:val="32"/>
      <w:szCs w:val="32"/>
      <w:lang w:eastAsia="pl-PL"/>
    </w:rPr>
  </w:style>
  <w:style w:type="paragraph" w:styleId="Akapitzlist">
    <w:name w:val="List Paragraph"/>
    <w:basedOn w:val="Normalny"/>
    <w:link w:val="AkapitzlistZnak"/>
    <w:uiPriority w:val="34"/>
    <w:qFormat/>
    <w:rsid w:val="008C495E"/>
    <w:pPr>
      <w:ind w:left="708"/>
    </w:pPr>
  </w:style>
  <w:style w:type="character" w:customStyle="1" w:styleId="AkapitzlistZnak">
    <w:name w:val="Akapit z listą Znak"/>
    <w:link w:val="Akapitzlist"/>
    <w:uiPriority w:val="34"/>
    <w:rsid w:val="008C495E"/>
    <w:rPr>
      <w:rFonts w:ascii="Arial" w:eastAsia="Times New Roman" w:hAnsi="Arial" w:cs="Times New Roman"/>
      <w:szCs w:val="20"/>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link w:val="TekstprzypisudolnegoZnak"/>
    <w:qFormat/>
    <w:rsid w:val="008C495E"/>
    <w:pPr>
      <w:spacing w:before="0" w:line="240" w:lineRule="auto"/>
    </w:pPr>
    <w:rPr>
      <w:rFonts w:ascii="Times New Roman" w:hAnsi="Times New Roman"/>
      <w:sz w:val="20"/>
      <w:szCs w:val="24"/>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Znak Znak,o Znak,fn Znak"/>
    <w:basedOn w:val="Domylnaczcionkaakapitu"/>
    <w:link w:val="Tekstprzypisudolnego"/>
    <w:rsid w:val="008C495E"/>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8C495E"/>
    <w:rPr>
      <w:vertAlign w:val="superscript"/>
    </w:rPr>
  </w:style>
  <w:style w:type="paragraph" w:customStyle="1" w:styleId="Default">
    <w:name w:val="Default"/>
    <w:rsid w:val="008C495E"/>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table" w:styleId="Tabela-Siatka">
    <w:name w:val="Table Grid"/>
    <w:basedOn w:val="Standardowy"/>
    <w:uiPriority w:val="59"/>
    <w:rsid w:val="008C495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11273"/>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1273"/>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370466"/>
    <w:rPr>
      <w:sz w:val="16"/>
      <w:szCs w:val="16"/>
    </w:rPr>
  </w:style>
  <w:style w:type="paragraph" w:styleId="Tekstkomentarza">
    <w:name w:val="annotation text"/>
    <w:basedOn w:val="Normalny"/>
    <w:link w:val="TekstkomentarzaZnak"/>
    <w:uiPriority w:val="99"/>
    <w:unhideWhenUsed/>
    <w:rsid w:val="00370466"/>
    <w:pPr>
      <w:spacing w:line="240" w:lineRule="auto"/>
    </w:pPr>
    <w:rPr>
      <w:sz w:val="20"/>
    </w:rPr>
  </w:style>
  <w:style w:type="character" w:customStyle="1" w:styleId="TekstkomentarzaZnak">
    <w:name w:val="Tekst komentarza Znak"/>
    <w:basedOn w:val="Domylnaczcionkaakapitu"/>
    <w:link w:val="Tekstkomentarza"/>
    <w:uiPriority w:val="99"/>
    <w:rsid w:val="00370466"/>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70466"/>
    <w:rPr>
      <w:b/>
      <w:bCs/>
    </w:rPr>
  </w:style>
  <w:style w:type="character" w:customStyle="1" w:styleId="TematkomentarzaZnak">
    <w:name w:val="Temat komentarza Znak"/>
    <w:basedOn w:val="TekstkomentarzaZnak"/>
    <w:link w:val="Tematkomentarza"/>
    <w:uiPriority w:val="99"/>
    <w:semiHidden/>
    <w:rsid w:val="00370466"/>
    <w:rPr>
      <w:rFonts w:ascii="Arial" w:eastAsia="Times New Roman" w:hAnsi="Arial" w:cs="Times New Roman"/>
      <w:b/>
      <w:bCs/>
      <w:sz w:val="20"/>
      <w:szCs w:val="20"/>
      <w:lang w:eastAsia="pl-PL"/>
    </w:rPr>
  </w:style>
  <w:style w:type="paragraph" w:styleId="Nagwek">
    <w:name w:val="header"/>
    <w:aliases w:val="Znak Znak,Znak"/>
    <w:basedOn w:val="Normalny"/>
    <w:link w:val="NagwekZnak"/>
    <w:uiPriority w:val="99"/>
    <w:unhideWhenUsed/>
    <w:rsid w:val="00C0278F"/>
    <w:pPr>
      <w:tabs>
        <w:tab w:val="center" w:pos="4536"/>
        <w:tab w:val="right" w:pos="9072"/>
      </w:tabs>
      <w:spacing w:before="0" w:line="240" w:lineRule="auto"/>
    </w:pPr>
  </w:style>
  <w:style w:type="character" w:customStyle="1" w:styleId="NagwekZnak">
    <w:name w:val="Nagłówek Znak"/>
    <w:aliases w:val="Znak Znak Znak,Znak Znak1"/>
    <w:basedOn w:val="Domylnaczcionkaakapitu"/>
    <w:link w:val="Nagwek"/>
    <w:uiPriority w:val="99"/>
    <w:rsid w:val="00C0278F"/>
    <w:rPr>
      <w:rFonts w:ascii="Arial" w:eastAsia="Times New Roman" w:hAnsi="Arial" w:cs="Times New Roman"/>
      <w:szCs w:val="20"/>
      <w:lang w:eastAsia="pl-PL"/>
    </w:rPr>
  </w:style>
  <w:style w:type="paragraph" w:styleId="Stopka">
    <w:name w:val="footer"/>
    <w:basedOn w:val="Normalny"/>
    <w:link w:val="StopkaZnak"/>
    <w:uiPriority w:val="99"/>
    <w:unhideWhenUsed/>
    <w:rsid w:val="00C0278F"/>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0278F"/>
    <w:rPr>
      <w:rFonts w:ascii="Arial" w:eastAsia="Times New Roman" w:hAnsi="Arial" w:cs="Times New Roman"/>
      <w:szCs w:val="20"/>
      <w:lang w:eastAsia="pl-PL"/>
    </w:rPr>
  </w:style>
  <w:style w:type="character" w:styleId="Hipercze">
    <w:name w:val="Hyperlink"/>
    <w:basedOn w:val="Domylnaczcionkaakapitu"/>
    <w:unhideWhenUsed/>
    <w:rsid w:val="00F923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3475">
      <w:bodyDiv w:val="1"/>
      <w:marLeft w:val="0"/>
      <w:marRight w:val="0"/>
      <w:marTop w:val="0"/>
      <w:marBottom w:val="0"/>
      <w:divBdr>
        <w:top w:val="none" w:sz="0" w:space="0" w:color="auto"/>
        <w:left w:val="none" w:sz="0" w:space="0" w:color="auto"/>
        <w:bottom w:val="none" w:sz="0" w:space="0" w:color="auto"/>
        <w:right w:val="none" w:sz="0" w:space="0" w:color="auto"/>
      </w:divBdr>
    </w:div>
    <w:div w:id="299582702">
      <w:bodyDiv w:val="1"/>
      <w:marLeft w:val="0"/>
      <w:marRight w:val="0"/>
      <w:marTop w:val="0"/>
      <w:marBottom w:val="0"/>
      <w:divBdr>
        <w:top w:val="none" w:sz="0" w:space="0" w:color="auto"/>
        <w:left w:val="none" w:sz="0" w:space="0" w:color="auto"/>
        <w:bottom w:val="none" w:sz="0" w:space="0" w:color="auto"/>
        <w:right w:val="none" w:sz="0" w:space="0" w:color="auto"/>
      </w:divBdr>
    </w:div>
    <w:div w:id="352615934">
      <w:bodyDiv w:val="1"/>
      <w:marLeft w:val="0"/>
      <w:marRight w:val="0"/>
      <w:marTop w:val="0"/>
      <w:marBottom w:val="0"/>
      <w:divBdr>
        <w:top w:val="none" w:sz="0" w:space="0" w:color="auto"/>
        <w:left w:val="none" w:sz="0" w:space="0" w:color="auto"/>
        <w:bottom w:val="none" w:sz="0" w:space="0" w:color="auto"/>
        <w:right w:val="none" w:sz="0" w:space="0" w:color="auto"/>
      </w:divBdr>
      <w:divsChild>
        <w:div w:id="410272907">
          <w:marLeft w:val="0"/>
          <w:marRight w:val="0"/>
          <w:marTop w:val="0"/>
          <w:marBottom w:val="0"/>
          <w:divBdr>
            <w:top w:val="none" w:sz="0" w:space="0" w:color="auto"/>
            <w:left w:val="none" w:sz="0" w:space="0" w:color="auto"/>
            <w:bottom w:val="none" w:sz="0" w:space="0" w:color="auto"/>
            <w:right w:val="none" w:sz="0" w:space="0" w:color="auto"/>
          </w:divBdr>
        </w:div>
        <w:div w:id="623923395">
          <w:marLeft w:val="0"/>
          <w:marRight w:val="0"/>
          <w:marTop w:val="0"/>
          <w:marBottom w:val="0"/>
          <w:divBdr>
            <w:top w:val="none" w:sz="0" w:space="0" w:color="auto"/>
            <w:left w:val="none" w:sz="0" w:space="0" w:color="auto"/>
            <w:bottom w:val="none" w:sz="0" w:space="0" w:color="auto"/>
            <w:right w:val="none" w:sz="0" w:space="0" w:color="auto"/>
          </w:divBdr>
        </w:div>
        <w:div w:id="1725833036">
          <w:marLeft w:val="0"/>
          <w:marRight w:val="0"/>
          <w:marTop w:val="0"/>
          <w:marBottom w:val="0"/>
          <w:divBdr>
            <w:top w:val="none" w:sz="0" w:space="0" w:color="auto"/>
            <w:left w:val="none" w:sz="0" w:space="0" w:color="auto"/>
            <w:bottom w:val="none" w:sz="0" w:space="0" w:color="auto"/>
            <w:right w:val="none" w:sz="0" w:space="0" w:color="auto"/>
          </w:divBdr>
        </w:div>
        <w:div w:id="1212884421">
          <w:marLeft w:val="0"/>
          <w:marRight w:val="0"/>
          <w:marTop w:val="0"/>
          <w:marBottom w:val="0"/>
          <w:divBdr>
            <w:top w:val="none" w:sz="0" w:space="0" w:color="auto"/>
            <w:left w:val="none" w:sz="0" w:space="0" w:color="auto"/>
            <w:bottom w:val="none" w:sz="0" w:space="0" w:color="auto"/>
            <w:right w:val="none" w:sz="0" w:space="0" w:color="auto"/>
          </w:divBdr>
        </w:div>
        <w:div w:id="254944292">
          <w:marLeft w:val="0"/>
          <w:marRight w:val="0"/>
          <w:marTop w:val="0"/>
          <w:marBottom w:val="0"/>
          <w:divBdr>
            <w:top w:val="none" w:sz="0" w:space="0" w:color="auto"/>
            <w:left w:val="none" w:sz="0" w:space="0" w:color="auto"/>
            <w:bottom w:val="none" w:sz="0" w:space="0" w:color="auto"/>
            <w:right w:val="none" w:sz="0" w:space="0" w:color="auto"/>
          </w:divBdr>
        </w:div>
        <w:div w:id="436486998">
          <w:marLeft w:val="0"/>
          <w:marRight w:val="0"/>
          <w:marTop w:val="0"/>
          <w:marBottom w:val="0"/>
          <w:divBdr>
            <w:top w:val="none" w:sz="0" w:space="0" w:color="auto"/>
            <w:left w:val="none" w:sz="0" w:space="0" w:color="auto"/>
            <w:bottom w:val="none" w:sz="0" w:space="0" w:color="auto"/>
            <w:right w:val="none" w:sz="0" w:space="0" w:color="auto"/>
          </w:divBdr>
        </w:div>
        <w:div w:id="1746756766">
          <w:marLeft w:val="0"/>
          <w:marRight w:val="0"/>
          <w:marTop w:val="0"/>
          <w:marBottom w:val="0"/>
          <w:divBdr>
            <w:top w:val="none" w:sz="0" w:space="0" w:color="auto"/>
            <w:left w:val="none" w:sz="0" w:space="0" w:color="auto"/>
            <w:bottom w:val="none" w:sz="0" w:space="0" w:color="auto"/>
            <w:right w:val="none" w:sz="0" w:space="0" w:color="auto"/>
          </w:divBdr>
        </w:div>
        <w:div w:id="426731078">
          <w:marLeft w:val="0"/>
          <w:marRight w:val="0"/>
          <w:marTop w:val="0"/>
          <w:marBottom w:val="0"/>
          <w:divBdr>
            <w:top w:val="none" w:sz="0" w:space="0" w:color="auto"/>
            <w:left w:val="none" w:sz="0" w:space="0" w:color="auto"/>
            <w:bottom w:val="none" w:sz="0" w:space="0" w:color="auto"/>
            <w:right w:val="none" w:sz="0" w:space="0" w:color="auto"/>
          </w:divBdr>
        </w:div>
        <w:div w:id="604387051">
          <w:marLeft w:val="0"/>
          <w:marRight w:val="0"/>
          <w:marTop w:val="0"/>
          <w:marBottom w:val="0"/>
          <w:divBdr>
            <w:top w:val="none" w:sz="0" w:space="0" w:color="auto"/>
            <w:left w:val="none" w:sz="0" w:space="0" w:color="auto"/>
            <w:bottom w:val="none" w:sz="0" w:space="0" w:color="auto"/>
            <w:right w:val="none" w:sz="0" w:space="0" w:color="auto"/>
          </w:divBdr>
        </w:div>
        <w:div w:id="2045862006">
          <w:marLeft w:val="0"/>
          <w:marRight w:val="0"/>
          <w:marTop w:val="0"/>
          <w:marBottom w:val="0"/>
          <w:divBdr>
            <w:top w:val="none" w:sz="0" w:space="0" w:color="auto"/>
            <w:left w:val="none" w:sz="0" w:space="0" w:color="auto"/>
            <w:bottom w:val="none" w:sz="0" w:space="0" w:color="auto"/>
            <w:right w:val="none" w:sz="0" w:space="0" w:color="auto"/>
          </w:divBdr>
        </w:div>
        <w:div w:id="911810918">
          <w:marLeft w:val="0"/>
          <w:marRight w:val="0"/>
          <w:marTop w:val="0"/>
          <w:marBottom w:val="0"/>
          <w:divBdr>
            <w:top w:val="none" w:sz="0" w:space="0" w:color="auto"/>
            <w:left w:val="none" w:sz="0" w:space="0" w:color="auto"/>
            <w:bottom w:val="none" w:sz="0" w:space="0" w:color="auto"/>
            <w:right w:val="none" w:sz="0" w:space="0" w:color="auto"/>
          </w:divBdr>
        </w:div>
        <w:div w:id="1426538952">
          <w:marLeft w:val="0"/>
          <w:marRight w:val="0"/>
          <w:marTop w:val="0"/>
          <w:marBottom w:val="0"/>
          <w:divBdr>
            <w:top w:val="none" w:sz="0" w:space="0" w:color="auto"/>
            <w:left w:val="none" w:sz="0" w:space="0" w:color="auto"/>
            <w:bottom w:val="none" w:sz="0" w:space="0" w:color="auto"/>
            <w:right w:val="none" w:sz="0" w:space="0" w:color="auto"/>
          </w:divBdr>
        </w:div>
        <w:div w:id="538787890">
          <w:marLeft w:val="0"/>
          <w:marRight w:val="0"/>
          <w:marTop w:val="0"/>
          <w:marBottom w:val="0"/>
          <w:divBdr>
            <w:top w:val="none" w:sz="0" w:space="0" w:color="auto"/>
            <w:left w:val="none" w:sz="0" w:space="0" w:color="auto"/>
            <w:bottom w:val="none" w:sz="0" w:space="0" w:color="auto"/>
            <w:right w:val="none" w:sz="0" w:space="0" w:color="auto"/>
          </w:divBdr>
        </w:div>
        <w:div w:id="1582913102">
          <w:marLeft w:val="0"/>
          <w:marRight w:val="0"/>
          <w:marTop w:val="0"/>
          <w:marBottom w:val="0"/>
          <w:divBdr>
            <w:top w:val="none" w:sz="0" w:space="0" w:color="auto"/>
            <w:left w:val="none" w:sz="0" w:space="0" w:color="auto"/>
            <w:bottom w:val="none" w:sz="0" w:space="0" w:color="auto"/>
            <w:right w:val="none" w:sz="0" w:space="0" w:color="auto"/>
          </w:divBdr>
        </w:div>
        <w:div w:id="205148041">
          <w:marLeft w:val="0"/>
          <w:marRight w:val="0"/>
          <w:marTop w:val="0"/>
          <w:marBottom w:val="0"/>
          <w:divBdr>
            <w:top w:val="none" w:sz="0" w:space="0" w:color="auto"/>
            <w:left w:val="none" w:sz="0" w:space="0" w:color="auto"/>
            <w:bottom w:val="none" w:sz="0" w:space="0" w:color="auto"/>
            <w:right w:val="none" w:sz="0" w:space="0" w:color="auto"/>
          </w:divBdr>
        </w:div>
        <w:div w:id="1466192876">
          <w:marLeft w:val="0"/>
          <w:marRight w:val="0"/>
          <w:marTop w:val="0"/>
          <w:marBottom w:val="0"/>
          <w:divBdr>
            <w:top w:val="none" w:sz="0" w:space="0" w:color="auto"/>
            <w:left w:val="none" w:sz="0" w:space="0" w:color="auto"/>
            <w:bottom w:val="none" w:sz="0" w:space="0" w:color="auto"/>
            <w:right w:val="none" w:sz="0" w:space="0" w:color="auto"/>
          </w:divBdr>
        </w:div>
        <w:div w:id="535583941">
          <w:marLeft w:val="0"/>
          <w:marRight w:val="0"/>
          <w:marTop w:val="0"/>
          <w:marBottom w:val="0"/>
          <w:divBdr>
            <w:top w:val="none" w:sz="0" w:space="0" w:color="auto"/>
            <w:left w:val="none" w:sz="0" w:space="0" w:color="auto"/>
            <w:bottom w:val="none" w:sz="0" w:space="0" w:color="auto"/>
            <w:right w:val="none" w:sz="0" w:space="0" w:color="auto"/>
          </w:divBdr>
        </w:div>
      </w:divsChild>
    </w:div>
    <w:div w:id="456802253">
      <w:bodyDiv w:val="1"/>
      <w:marLeft w:val="0"/>
      <w:marRight w:val="0"/>
      <w:marTop w:val="0"/>
      <w:marBottom w:val="0"/>
      <w:divBdr>
        <w:top w:val="none" w:sz="0" w:space="0" w:color="auto"/>
        <w:left w:val="none" w:sz="0" w:space="0" w:color="auto"/>
        <w:bottom w:val="none" w:sz="0" w:space="0" w:color="auto"/>
        <w:right w:val="none" w:sz="0" w:space="0" w:color="auto"/>
      </w:divBdr>
    </w:div>
    <w:div w:id="470832841">
      <w:bodyDiv w:val="1"/>
      <w:marLeft w:val="0"/>
      <w:marRight w:val="0"/>
      <w:marTop w:val="0"/>
      <w:marBottom w:val="0"/>
      <w:divBdr>
        <w:top w:val="none" w:sz="0" w:space="0" w:color="auto"/>
        <w:left w:val="none" w:sz="0" w:space="0" w:color="auto"/>
        <w:bottom w:val="none" w:sz="0" w:space="0" w:color="auto"/>
        <w:right w:val="none" w:sz="0" w:space="0" w:color="auto"/>
      </w:divBdr>
      <w:divsChild>
        <w:div w:id="1898589703">
          <w:marLeft w:val="0"/>
          <w:marRight w:val="0"/>
          <w:marTop w:val="0"/>
          <w:marBottom w:val="0"/>
          <w:divBdr>
            <w:top w:val="none" w:sz="0" w:space="0" w:color="auto"/>
            <w:left w:val="none" w:sz="0" w:space="0" w:color="auto"/>
            <w:bottom w:val="none" w:sz="0" w:space="0" w:color="auto"/>
            <w:right w:val="none" w:sz="0" w:space="0" w:color="auto"/>
          </w:divBdr>
        </w:div>
        <w:div w:id="1617327857">
          <w:marLeft w:val="0"/>
          <w:marRight w:val="0"/>
          <w:marTop w:val="0"/>
          <w:marBottom w:val="0"/>
          <w:divBdr>
            <w:top w:val="none" w:sz="0" w:space="0" w:color="auto"/>
            <w:left w:val="none" w:sz="0" w:space="0" w:color="auto"/>
            <w:bottom w:val="none" w:sz="0" w:space="0" w:color="auto"/>
            <w:right w:val="none" w:sz="0" w:space="0" w:color="auto"/>
          </w:divBdr>
        </w:div>
        <w:div w:id="740251106">
          <w:marLeft w:val="0"/>
          <w:marRight w:val="0"/>
          <w:marTop w:val="0"/>
          <w:marBottom w:val="0"/>
          <w:divBdr>
            <w:top w:val="none" w:sz="0" w:space="0" w:color="auto"/>
            <w:left w:val="none" w:sz="0" w:space="0" w:color="auto"/>
            <w:bottom w:val="none" w:sz="0" w:space="0" w:color="auto"/>
            <w:right w:val="none" w:sz="0" w:space="0" w:color="auto"/>
          </w:divBdr>
        </w:div>
        <w:div w:id="1644046186">
          <w:marLeft w:val="0"/>
          <w:marRight w:val="0"/>
          <w:marTop w:val="0"/>
          <w:marBottom w:val="0"/>
          <w:divBdr>
            <w:top w:val="none" w:sz="0" w:space="0" w:color="auto"/>
            <w:left w:val="none" w:sz="0" w:space="0" w:color="auto"/>
            <w:bottom w:val="none" w:sz="0" w:space="0" w:color="auto"/>
            <w:right w:val="none" w:sz="0" w:space="0" w:color="auto"/>
          </w:divBdr>
        </w:div>
        <w:div w:id="729882473">
          <w:marLeft w:val="0"/>
          <w:marRight w:val="0"/>
          <w:marTop w:val="0"/>
          <w:marBottom w:val="0"/>
          <w:divBdr>
            <w:top w:val="none" w:sz="0" w:space="0" w:color="auto"/>
            <w:left w:val="none" w:sz="0" w:space="0" w:color="auto"/>
            <w:bottom w:val="none" w:sz="0" w:space="0" w:color="auto"/>
            <w:right w:val="none" w:sz="0" w:space="0" w:color="auto"/>
          </w:divBdr>
        </w:div>
        <w:div w:id="179009377">
          <w:marLeft w:val="0"/>
          <w:marRight w:val="0"/>
          <w:marTop w:val="0"/>
          <w:marBottom w:val="0"/>
          <w:divBdr>
            <w:top w:val="none" w:sz="0" w:space="0" w:color="auto"/>
            <w:left w:val="none" w:sz="0" w:space="0" w:color="auto"/>
            <w:bottom w:val="none" w:sz="0" w:space="0" w:color="auto"/>
            <w:right w:val="none" w:sz="0" w:space="0" w:color="auto"/>
          </w:divBdr>
        </w:div>
        <w:div w:id="1688797812">
          <w:marLeft w:val="0"/>
          <w:marRight w:val="0"/>
          <w:marTop w:val="0"/>
          <w:marBottom w:val="0"/>
          <w:divBdr>
            <w:top w:val="none" w:sz="0" w:space="0" w:color="auto"/>
            <w:left w:val="none" w:sz="0" w:space="0" w:color="auto"/>
            <w:bottom w:val="none" w:sz="0" w:space="0" w:color="auto"/>
            <w:right w:val="none" w:sz="0" w:space="0" w:color="auto"/>
          </w:divBdr>
        </w:div>
        <w:div w:id="356541885">
          <w:marLeft w:val="0"/>
          <w:marRight w:val="0"/>
          <w:marTop w:val="0"/>
          <w:marBottom w:val="0"/>
          <w:divBdr>
            <w:top w:val="none" w:sz="0" w:space="0" w:color="auto"/>
            <w:left w:val="none" w:sz="0" w:space="0" w:color="auto"/>
            <w:bottom w:val="none" w:sz="0" w:space="0" w:color="auto"/>
            <w:right w:val="none" w:sz="0" w:space="0" w:color="auto"/>
          </w:divBdr>
        </w:div>
        <w:div w:id="567769827">
          <w:marLeft w:val="0"/>
          <w:marRight w:val="0"/>
          <w:marTop w:val="0"/>
          <w:marBottom w:val="0"/>
          <w:divBdr>
            <w:top w:val="none" w:sz="0" w:space="0" w:color="auto"/>
            <w:left w:val="none" w:sz="0" w:space="0" w:color="auto"/>
            <w:bottom w:val="none" w:sz="0" w:space="0" w:color="auto"/>
            <w:right w:val="none" w:sz="0" w:space="0" w:color="auto"/>
          </w:divBdr>
        </w:div>
        <w:div w:id="186917505">
          <w:marLeft w:val="0"/>
          <w:marRight w:val="0"/>
          <w:marTop w:val="0"/>
          <w:marBottom w:val="0"/>
          <w:divBdr>
            <w:top w:val="none" w:sz="0" w:space="0" w:color="auto"/>
            <w:left w:val="none" w:sz="0" w:space="0" w:color="auto"/>
            <w:bottom w:val="none" w:sz="0" w:space="0" w:color="auto"/>
            <w:right w:val="none" w:sz="0" w:space="0" w:color="auto"/>
          </w:divBdr>
        </w:div>
        <w:div w:id="1074206054">
          <w:marLeft w:val="0"/>
          <w:marRight w:val="0"/>
          <w:marTop w:val="0"/>
          <w:marBottom w:val="0"/>
          <w:divBdr>
            <w:top w:val="none" w:sz="0" w:space="0" w:color="auto"/>
            <w:left w:val="none" w:sz="0" w:space="0" w:color="auto"/>
            <w:bottom w:val="none" w:sz="0" w:space="0" w:color="auto"/>
            <w:right w:val="none" w:sz="0" w:space="0" w:color="auto"/>
          </w:divBdr>
        </w:div>
        <w:div w:id="1860655310">
          <w:marLeft w:val="0"/>
          <w:marRight w:val="0"/>
          <w:marTop w:val="0"/>
          <w:marBottom w:val="0"/>
          <w:divBdr>
            <w:top w:val="none" w:sz="0" w:space="0" w:color="auto"/>
            <w:left w:val="none" w:sz="0" w:space="0" w:color="auto"/>
            <w:bottom w:val="none" w:sz="0" w:space="0" w:color="auto"/>
            <w:right w:val="none" w:sz="0" w:space="0" w:color="auto"/>
          </w:divBdr>
        </w:div>
        <w:div w:id="28996616">
          <w:marLeft w:val="0"/>
          <w:marRight w:val="0"/>
          <w:marTop w:val="0"/>
          <w:marBottom w:val="0"/>
          <w:divBdr>
            <w:top w:val="none" w:sz="0" w:space="0" w:color="auto"/>
            <w:left w:val="none" w:sz="0" w:space="0" w:color="auto"/>
            <w:bottom w:val="none" w:sz="0" w:space="0" w:color="auto"/>
            <w:right w:val="none" w:sz="0" w:space="0" w:color="auto"/>
          </w:divBdr>
        </w:div>
        <w:div w:id="2023584911">
          <w:marLeft w:val="0"/>
          <w:marRight w:val="0"/>
          <w:marTop w:val="0"/>
          <w:marBottom w:val="0"/>
          <w:divBdr>
            <w:top w:val="none" w:sz="0" w:space="0" w:color="auto"/>
            <w:left w:val="none" w:sz="0" w:space="0" w:color="auto"/>
            <w:bottom w:val="none" w:sz="0" w:space="0" w:color="auto"/>
            <w:right w:val="none" w:sz="0" w:space="0" w:color="auto"/>
          </w:divBdr>
        </w:div>
        <w:div w:id="1061250700">
          <w:marLeft w:val="0"/>
          <w:marRight w:val="0"/>
          <w:marTop w:val="0"/>
          <w:marBottom w:val="0"/>
          <w:divBdr>
            <w:top w:val="none" w:sz="0" w:space="0" w:color="auto"/>
            <w:left w:val="none" w:sz="0" w:space="0" w:color="auto"/>
            <w:bottom w:val="none" w:sz="0" w:space="0" w:color="auto"/>
            <w:right w:val="none" w:sz="0" w:space="0" w:color="auto"/>
          </w:divBdr>
        </w:div>
        <w:div w:id="832644618">
          <w:marLeft w:val="0"/>
          <w:marRight w:val="0"/>
          <w:marTop w:val="0"/>
          <w:marBottom w:val="0"/>
          <w:divBdr>
            <w:top w:val="none" w:sz="0" w:space="0" w:color="auto"/>
            <w:left w:val="none" w:sz="0" w:space="0" w:color="auto"/>
            <w:bottom w:val="none" w:sz="0" w:space="0" w:color="auto"/>
            <w:right w:val="none" w:sz="0" w:space="0" w:color="auto"/>
          </w:divBdr>
        </w:div>
        <w:div w:id="1733773192">
          <w:marLeft w:val="0"/>
          <w:marRight w:val="0"/>
          <w:marTop w:val="0"/>
          <w:marBottom w:val="0"/>
          <w:divBdr>
            <w:top w:val="none" w:sz="0" w:space="0" w:color="auto"/>
            <w:left w:val="none" w:sz="0" w:space="0" w:color="auto"/>
            <w:bottom w:val="none" w:sz="0" w:space="0" w:color="auto"/>
            <w:right w:val="none" w:sz="0" w:space="0" w:color="auto"/>
          </w:divBdr>
        </w:div>
        <w:div w:id="1177159056">
          <w:marLeft w:val="0"/>
          <w:marRight w:val="0"/>
          <w:marTop w:val="0"/>
          <w:marBottom w:val="0"/>
          <w:divBdr>
            <w:top w:val="none" w:sz="0" w:space="0" w:color="auto"/>
            <w:left w:val="none" w:sz="0" w:space="0" w:color="auto"/>
            <w:bottom w:val="none" w:sz="0" w:space="0" w:color="auto"/>
            <w:right w:val="none" w:sz="0" w:space="0" w:color="auto"/>
          </w:divBdr>
        </w:div>
        <w:div w:id="1880894952">
          <w:marLeft w:val="0"/>
          <w:marRight w:val="0"/>
          <w:marTop w:val="0"/>
          <w:marBottom w:val="0"/>
          <w:divBdr>
            <w:top w:val="none" w:sz="0" w:space="0" w:color="auto"/>
            <w:left w:val="none" w:sz="0" w:space="0" w:color="auto"/>
            <w:bottom w:val="none" w:sz="0" w:space="0" w:color="auto"/>
            <w:right w:val="none" w:sz="0" w:space="0" w:color="auto"/>
          </w:divBdr>
        </w:div>
        <w:div w:id="889800163">
          <w:marLeft w:val="0"/>
          <w:marRight w:val="0"/>
          <w:marTop w:val="0"/>
          <w:marBottom w:val="0"/>
          <w:divBdr>
            <w:top w:val="none" w:sz="0" w:space="0" w:color="auto"/>
            <w:left w:val="none" w:sz="0" w:space="0" w:color="auto"/>
            <w:bottom w:val="none" w:sz="0" w:space="0" w:color="auto"/>
            <w:right w:val="none" w:sz="0" w:space="0" w:color="auto"/>
          </w:divBdr>
        </w:div>
        <w:div w:id="722291452">
          <w:marLeft w:val="0"/>
          <w:marRight w:val="0"/>
          <w:marTop w:val="0"/>
          <w:marBottom w:val="0"/>
          <w:divBdr>
            <w:top w:val="none" w:sz="0" w:space="0" w:color="auto"/>
            <w:left w:val="none" w:sz="0" w:space="0" w:color="auto"/>
            <w:bottom w:val="none" w:sz="0" w:space="0" w:color="auto"/>
            <w:right w:val="none" w:sz="0" w:space="0" w:color="auto"/>
          </w:divBdr>
        </w:div>
        <w:div w:id="1032993095">
          <w:marLeft w:val="0"/>
          <w:marRight w:val="0"/>
          <w:marTop w:val="0"/>
          <w:marBottom w:val="0"/>
          <w:divBdr>
            <w:top w:val="none" w:sz="0" w:space="0" w:color="auto"/>
            <w:left w:val="none" w:sz="0" w:space="0" w:color="auto"/>
            <w:bottom w:val="none" w:sz="0" w:space="0" w:color="auto"/>
            <w:right w:val="none" w:sz="0" w:space="0" w:color="auto"/>
          </w:divBdr>
        </w:div>
        <w:div w:id="2008441830">
          <w:marLeft w:val="0"/>
          <w:marRight w:val="0"/>
          <w:marTop w:val="0"/>
          <w:marBottom w:val="0"/>
          <w:divBdr>
            <w:top w:val="none" w:sz="0" w:space="0" w:color="auto"/>
            <w:left w:val="none" w:sz="0" w:space="0" w:color="auto"/>
            <w:bottom w:val="none" w:sz="0" w:space="0" w:color="auto"/>
            <w:right w:val="none" w:sz="0" w:space="0" w:color="auto"/>
          </w:divBdr>
        </w:div>
        <w:div w:id="257837978">
          <w:marLeft w:val="0"/>
          <w:marRight w:val="0"/>
          <w:marTop w:val="0"/>
          <w:marBottom w:val="0"/>
          <w:divBdr>
            <w:top w:val="none" w:sz="0" w:space="0" w:color="auto"/>
            <w:left w:val="none" w:sz="0" w:space="0" w:color="auto"/>
            <w:bottom w:val="none" w:sz="0" w:space="0" w:color="auto"/>
            <w:right w:val="none" w:sz="0" w:space="0" w:color="auto"/>
          </w:divBdr>
        </w:div>
        <w:div w:id="1843468051">
          <w:marLeft w:val="0"/>
          <w:marRight w:val="0"/>
          <w:marTop w:val="0"/>
          <w:marBottom w:val="0"/>
          <w:divBdr>
            <w:top w:val="none" w:sz="0" w:space="0" w:color="auto"/>
            <w:left w:val="none" w:sz="0" w:space="0" w:color="auto"/>
            <w:bottom w:val="none" w:sz="0" w:space="0" w:color="auto"/>
            <w:right w:val="none" w:sz="0" w:space="0" w:color="auto"/>
          </w:divBdr>
        </w:div>
        <w:div w:id="806776555">
          <w:marLeft w:val="0"/>
          <w:marRight w:val="0"/>
          <w:marTop w:val="0"/>
          <w:marBottom w:val="0"/>
          <w:divBdr>
            <w:top w:val="none" w:sz="0" w:space="0" w:color="auto"/>
            <w:left w:val="none" w:sz="0" w:space="0" w:color="auto"/>
            <w:bottom w:val="none" w:sz="0" w:space="0" w:color="auto"/>
            <w:right w:val="none" w:sz="0" w:space="0" w:color="auto"/>
          </w:divBdr>
        </w:div>
        <w:div w:id="1764372724">
          <w:marLeft w:val="0"/>
          <w:marRight w:val="0"/>
          <w:marTop w:val="0"/>
          <w:marBottom w:val="0"/>
          <w:divBdr>
            <w:top w:val="none" w:sz="0" w:space="0" w:color="auto"/>
            <w:left w:val="none" w:sz="0" w:space="0" w:color="auto"/>
            <w:bottom w:val="none" w:sz="0" w:space="0" w:color="auto"/>
            <w:right w:val="none" w:sz="0" w:space="0" w:color="auto"/>
          </w:divBdr>
        </w:div>
        <w:div w:id="385229534">
          <w:marLeft w:val="0"/>
          <w:marRight w:val="0"/>
          <w:marTop w:val="0"/>
          <w:marBottom w:val="0"/>
          <w:divBdr>
            <w:top w:val="none" w:sz="0" w:space="0" w:color="auto"/>
            <w:left w:val="none" w:sz="0" w:space="0" w:color="auto"/>
            <w:bottom w:val="none" w:sz="0" w:space="0" w:color="auto"/>
            <w:right w:val="none" w:sz="0" w:space="0" w:color="auto"/>
          </w:divBdr>
        </w:div>
        <w:div w:id="1076393283">
          <w:marLeft w:val="0"/>
          <w:marRight w:val="0"/>
          <w:marTop w:val="0"/>
          <w:marBottom w:val="0"/>
          <w:divBdr>
            <w:top w:val="none" w:sz="0" w:space="0" w:color="auto"/>
            <w:left w:val="none" w:sz="0" w:space="0" w:color="auto"/>
            <w:bottom w:val="none" w:sz="0" w:space="0" w:color="auto"/>
            <w:right w:val="none" w:sz="0" w:space="0" w:color="auto"/>
          </w:divBdr>
        </w:div>
        <w:div w:id="915820441">
          <w:marLeft w:val="0"/>
          <w:marRight w:val="0"/>
          <w:marTop w:val="0"/>
          <w:marBottom w:val="0"/>
          <w:divBdr>
            <w:top w:val="none" w:sz="0" w:space="0" w:color="auto"/>
            <w:left w:val="none" w:sz="0" w:space="0" w:color="auto"/>
            <w:bottom w:val="none" w:sz="0" w:space="0" w:color="auto"/>
            <w:right w:val="none" w:sz="0" w:space="0" w:color="auto"/>
          </w:divBdr>
        </w:div>
        <w:div w:id="1160732860">
          <w:marLeft w:val="0"/>
          <w:marRight w:val="0"/>
          <w:marTop w:val="0"/>
          <w:marBottom w:val="0"/>
          <w:divBdr>
            <w:top w:val="none" w:sz="0" w:space="0" w:color="auto"/>
            <w:left w:val="none" w:sz="0" w:space="0" w:color="auto"/>
            <w:bottom w:val="none" w:sz="0" w:space="0" w:color="auto"/>
            <w:right w:val="none" w:sz="0" w:space="0" w:color="auto"/>
          </w:divBdr>
        </w:div>
        <w:div w:id="857886401">
          <w:marLeft w:val="0"/>
          <w:marRight w:val="0"/>
          <w:marTop w:val="0"/>
          <w:marBottom w:val="0"/>
          <w:divBdr>
            <w:top w:val="none" w:sz="0" w:space="0" w:color="auto"/>
            <w:left w:val="none" w:sz="0" w:space="0" w:color="auto"/>
            <w:bottom w:val="none" w:sz="0" w:space="0" w:color="auto"/>
            <w:right w:val="none" w:sz="0" w:space="0" w:color="auto"/>
          </w:divBdr>
        </w:div>
        <w:div w:id="1398476804">
          <w:marLeft w:val="0"/>
          <w:marRight w:val="0"/>
          <w:marTop w:val="0"/>
          <w:marBottom w:val="0"/>
          <w:divBdr>
            <w:top w:val="none" w:sz="0" w:space="0" w:color="auto"/>
            <w:left w:val="none" w:sz="0" w:space="0" w:color="auto"/>
            <w:bottom w:val="none" w:sz="0" w:space="0" w:color="auto"/>
            <w:right w:val="none" w:sz="0" w:space="0" w:color="auto"/>
          </w:divBdr>
        </w:div>
        <w:div w:id="2082487253">
          <w:marLeft w:val="0"/>
          <w:marRight w:val="0"/>
          <w:marTop w:val="0"/>
          <w:marBottom w:val="0"/>
          <w:divBdr>
            <w:top w:val="none" w:sz="0" w:space="0" w:color="auto"/>
            <w:left w:val="none" w:sz="0" w:space="0" w:color="auto"/>
            <w:bottom w:val="none" w:sz="0" w:space="0" w:color="auto"/>
            <w:right w:val="none" w:sz="0" w:space="0" w:color="auto"/>
          </w:divBdr>
        </w:div>
        <w:div w:id="116412163">
          <w:marLeft w:val="0"/>
          <w:marRight w:val="0"/>
          <w:marTop w:val="0"/>
          <w:marBottom w:val="0"/>
          <w:divBdr>
            <w:top w:val="none" w:sz="0" w:space="0" w:color="auto"/>
            <w:left w:val="none" w:sz="0" w:space="0" w:color="auto"/>
            <w:bottom w:val="none" w:sz="0" w:space="0" w:color="auto"/>
            <w:right w:val="none" w:sz="0" w:space="0" w:color="auto"/>
          </w:divBdr>
        </w:div>
        <w:div w:id="1438523172">
          <w:marLeft w:val="0"/>
          <w:marRight w:val="0"/>
          <w:marTop w:val="0"/>
          <w:marBottom w:val="0"/>
          <w:divBdr>
            <w:top w:val="none" w:sz="0" w:space="0" w:color="auto"/>
            <w:left w:val="none" w:sz="0" w:space="0" w:color="auto"/>
            <w:bottom w:val="none" w:sz="0" w:space="0" w:color="auto"/>
            <w:right w:val="none" w:sz="0" w:space="0" w:color="auto"/>
          </w:divBdr>
        </w:div>
        <w:div w:id="1171872747">
          <w:marLeft w:val="0"/>
          <w:marRight w:val="0"/>
          <w:marTop w:val="0"/>
          <w:marBottom w:val="0"/>
          <w:divBdr>
            <w:top w:val="none" w:sz="0" w:space="0" w:color="auto"/>
            <w:left w:val="none" w:sz="0" w:space="0" w:color="auto"/>
            <w:bottom w:val="none" w:sz="0" w:space="0" w:color="auto"/>
            <w:right w:val="none" w:sz="0" w:space="0" w:color="auto"/>
          </w:divBdr>
        </w:div>
        <w:div w:id="1881475017">
          <w:marLeft w:val="0"/>
          <w:marRight w:val="0"/>
          <w:marTop w:val="0"/>
          <w:marBottom w:val="0"/>
          <w:divBdr>
            <w:top w:val="none" w:sz="0" w:space="0" w:color="auto"/>
            <w:left w:val="none" w:sz="0" w:space="0" w:color="auto"/>
            <w:bottom w:val="none" w:sz="0" w:space="0" w:color="auto"/>
            <w:right w:val="none" w:sz="0" w:space="0" w:color="auto"/>
          </w:divBdr>
        </w:div>
        <w:div w:id="1074353678">
          <w:marLeft w:val="0"/>
          <w:marRight w:val="0"/>
          <w:marTop w:val="0"/>
          <w:marBottom w:val="0"/>
          <w:divBdr>
            <w:top w:val="none" w:sz="0" w:space="0" w:color="auto"/>
            <w:left w:val="none" w:sz="0" w:space="0" w:color="auto"/>
            <w:bottom w:val="none" w:sz="0" w:space="0" w:color="auto"/>
            <w:right w:val="none" w:sz="0" w:space="0" w:color="auto"/>
          </w:divBdr>
        </w:div>
        <w:div w:id="26833646">
          <w:marLeft w:val="0"/>
          <w:marRight w:val="0"/>
          <w:marTop w:val="0"/>
          <w:marBottom w:val="0"/>
          <w:divBdr>
            <w:top w:val="none" w:sz="0" w:space="0" w:color="auto"/>
            <w:left w:val="none" w:sz="0" w:space="0" w:color="auto"/>
            <w:bottom w:val="none" w:sz="0" w:space="0" w:color="auto"/>
            <w:right w:val="none" w:sz="0" w:space="0" w:color="auto"/>
          </w:divBdr>
        </w:div>
        <w:div w:id="1295941541">
          <w:marLeft w:val="0"/>
          <w:marRight w:val="0"/>
          <w:marTop w:val="0"/>
          <w:marBottom w:val="0"/>
          <w:divBdr>
            <w:top w:val="none" w:sz="0" w:space="0" w:color="auto"/>
            <w:left w:val="none" w:sz="0" w:space="0" w:color="auto"/>
            <w:bottom w:val="none" w:sz="0" w:space="0" w:color="auto"/>
            <w:right w:val="none" w:sz="0" w:space="0" w:color="auto"/>
          </w:divBdr>
        </w:div>
        <w:div w:id="264654284">
          <w:marLeft w:val="0"/>
          <w:marRight w:val="0"/>
          <w:marTop w:val="0"/>
          <w:marBottom w:val="0"/>
          <w:divBdr>
            <w:top w:val="none" w:sz="0" w:space="0" w:color="auto"/>
            <w:left w:val="none" w:sz="0" w:space="0" w:color="auto"/>
            <w:bottom w:val="none" w:sz="0" w:space="0" w:color="auto"/>
            <w:right w:val="none" w:sz="0" w:space="0" w:color="auto"/>
          </w:divBdr>
        </w:div>
      </w:divsChild>
    </w:div>
    <w:div w:id="1021398030">
      <w:bodyDiv w:val="1"/>
      <w:marLeft w:val="0"/>
      <w:marRight w:val="0"/>
      <w:marTop w:val="0"/>
      <w:marBottom w:val="0"/>
      <w:divBdr>
        <w:top w:val="none" w:sz="0" w:space="0" w:color="auto"/>
        <w:left w:val="none" w:sz="0" w:space="0" w:color="auto"/>
        <w:bottom w:val="none" w:sz="0" w:space="0" w:color="auto"/>
        <w:right w:val="none" w:sz="0" w:space="0" w:color="auto"/>
      </w:divBdr>
      <w:divsChild>
        <w:div w:id="454762327">
          <w:marLeft w:val="0"/>
          <w:marRight w:val="0"/>
          <w:marTop w:val="0"/>
          <w:marBottom w:val="0"/>
          <w:divBdr>
            <w:top w:val="none" w:sz="0" w:space="0" w:color="auto"/>
            <w:left w:val="none" w:sz="0" w:space="0" w:color="auto"/>
            <w:bottom w:val="none" w:sz="0" w:space="0" w:color="auto"/>
            <w:right w:val="none" w:sz="0" w:space="0" w:color="auto"/>
          </w:divBdr>
        </w:div>
        <w:div w:id="1627390213">
          <w:marLeft w:val="0"/>
          <w:marRight w:val="0"/>
          <w:marTop w:val="0"/>
          <w:marBottom w:val="0"/>
          <w:divBdr>
            <w:top w:val="none" w:sz="0" w:space="0" w:color="auto"/>
            <w:left w:val="none" w:sz="0" w:space="0" w:color="auto"/>
            <w:bottom w:val="none" w:sz="0" w:space="0" w:color="auto"/>
            <w:right w:val="none" w:sz="0" w:space="0" w:color="auto"/>
          </w:divBdr>
        </w:div>
        <w:div w:id="931277269">
          <w:marLeft w:val="0"/>
          <w:marRight w:val="0"/>
          <w:marTop w:val="0"/>
          <w:marBottom w:val="0"/>
          <w:divBdr>
            <w:top w:val="none" w:sz="0" w:space="0" w:color="auto"/>
            <w:left w:val="none" w:sz="0" w:space="0" w:color="auto"/>
            <w:bottom w:val="none" w:sz="0" w:space="0" w:color="auto"/>
            <w:right w:val="none" w:sz="0" w:space="0" w:color="auto"/>
          </w:divBdr>
        </w:div>
        <w:div w:id="1914704844">
          <w:marLeft w:val="0"/>
          <w:marRight w:val="0"/>
          <w:marTop w:val="0"/>
          <w:marBottom w:val="0"/>
          <w:divBdr>
            <w:top w:val="none" w:sz="0" w:space="0" w:color="auto"/>
            <w:left w:val="none" w:sz="0" w:space="0" w:color="auto"/>
            <w:bottom w:val="none" w:sz="0" w:space="0" w:color="auto"/>
            <w:right w:val="none" w:sz="0" w:space="0" w:color="auto"/>
          </w:divBdr>
        </w:div>
        <w:div w:id="169027037">
          <w:marLeft w:val="0"/>
          <w:marRight w:val="0"/>
          <w:marTop w:val="0"/>
          <w:marBottom w:val="0"/>
          <w:divBdr>
            <w:top w:val="none" w:sz="0" w:space="0" w:color="auto"/>
            <w:left w:val="none" w:sz="0" w:space="0" w:color="auto"/>
            <w:bottom w:val="none" w:sz="0" w:space="0" w:color="auto"/>
            <w:right w:val="none" w:sz="0" w:space="0" w:color="auto"/>
          </w:divBdr>
        </w:div>
        <w:div w:id="335109293">
          <w:marLeft w:val="0"/>
          <w:marRight w:val="0"/>
          <w:marTop w:val="0"/>
          <w:marBottom w:val="0"/>
          <w:divBdr>
            <w:top w:val="none" w:sz="0" w:space="0" w:color="auto"/>
            <w:left w:val="none" w:sz="0" w:space="0" w:color="auto"/>
            <w:bottom w:val="none" w:sz="0" w:space="0" w:color="auto"/>
            <w:right w:val="none" w:sz="0" w:space="0" w:color="auto"/>
          </w:divBdr>
        </w:div>
        <w:div w:id="2091466895">
          <w:marLeft w:val="0"/>
          <w:marRight w:val="0"/>
          <w:marTop w:val="0"/>
          <w:marBottom w:val="0"/>
          <w:divBdr>
            <w:top w:val="none" w:sz="0" w:space="0" w:color="auto"/>
            <w:left w:val="none" w:sz="0" w:space="0" w:color="auto"/>
            <w:bottom w:val="none" w:sz="0" w:space="0" w:color="auto"/>
            <w:right w:val="none" w:sz="0" w:space="0" w:color="auto"/>
          </w:divBdr>
        </w:div>
        <w:div w:id="935746022">
          <w:marLeft w:val="0"/>
          <w:marRight w:val="0"/>
          <w:marTop w:val="0"/>
          <w:marBottom w:val="0"/>
          <w:divBdr>
            <w:top w:val="none" w:sz="0" w:space="0" w:color="auto"/>
            <w:left w:val="none" w:sz="0" w:space="0" w:color="auto"/>
            <w:bottom w:val="none" w:sz="0" w:space="0" w:color="auto"/>
            <w:right w:val="none" w:sz="0" w:space="0" w:color="auto"/>
          </w:divBdr>
        </w:div>
        <w:div w:id="1851487224">
          <w:marLeft w:val="0"/>
          <w:marRight w:val="0"/>
          <w:marTop w:val="0"/>
          <w:marBottom w:val="0"/>
          <w:divBdr>
            <w:top w:val="none" w:sz="0" w:space="0" w:color="auto"/>
            <w:left w:val="none" w:sz="0" w:space="0" w:color="auto"/>
            <w:bottom w:val="none" w:sz="0" w:space="0" w:color="auto"/>
            <w:right w:val="none" w:sz="0" w:space="0" w:color="auto"/>
          </w:divBdr>
        </w:div>
        <w:div w:id="184367342">
          <w:marLeft w:val="0"/>
          <w:marRight w:val="0"/>
          <w:marTop w:val="0"/>
          <w:marBottom w:val="0"/>
          <w:divBdr>
            <w:top w:val="none" w:sz="0" w:space="0" w:color="auto"/>
            <w:left w:val="none" w:sz="0" w:space="0" w:color="auto"/>
            <w:bottom w:val="none" w:sz="0" w:space="0" w:color="auto"/>
            <w:right w:val="none" w:sz="0" w:space="0" w:color="auto"/>
          </w:divBdr>
        </w:div>
        <w:div w:id="623387921">
          <w:marLeft w:val="0"/>
          <w:marRight w:val="0"/>
          <w:marTop w:val="0"/>
          <w:marBottom w:val="0"/>
          <w:divBdr>
            <w:top w:val="none" w:sz="0" w:space="0" w:color="auto"/>
            <w:left w:val="none" w:sz="0" w:space="0" w:color="auto"/>
            <w:bottom w:val="none" w:sz="0" w:space="0" w:color="auto"/>
            <w:right w:val="none" w:sz="0" w:space="0" w:color="auto"/>
          </w:divBdr>
        </w:div>
        <w:div w:id="582449711">
          <w:marLeft w:val="0"/>
          <w:marRight w:val="0"/>
          <w:marTop w:val="0"/>
          <w:marBottom w:val="0"/>
          <w:divBdr>
            <w:top w:val="none" w:sz="0" w:space="0" w:color="auto"/>
            <w:left w:val="none" w:sz="0" w:space="0" w:color="auto"/>
            <w:bottom w:val="none" w:sz="0" w:space="0" w:color="auto"/>
            <w:right w:val="none" w:sz="0" w:space="0" w:color="auto"/>
          </w:divBdr>
        </w:div>
        <w:div w:id="241987030">
          <w:marLeft w:val="0"/>
          <w:marRight w:val="0"/>
          <w:marTop w:val="0"/>
          <w:marBottom w:val="0"/>
          <w:divBdr>
            <w:top w:val="none" w:sz="0" w:space="0" w:color="auto"/>
            <w:left w:val="none" w:sz="0" w:space="0" w:color="auto"/>
            <w:bottom w:val="none" w:sz="0" w:space="0" w:color="auto"/>
            <w:right w:val="none" w:sz="0" w:space="0" w:color="auto"/>
          </w:divBdr>
        </w:div>
        <w:div w:id="1265842076">
          <w:marLeft w:val="0"/>
          <w:marRight w:val="0"/>
          <w:marTop w:val="0"/>
          <w:marBottom w:val="0"/>
          <w:divBdr>
            <w:top w:val="none" w:sz="0" w:space="0" w:color="auto"/>
            <w:left w:val="none" w:sz="0" w:space="0" w:color="auto"/>
            <w:bottom w:val="none" w:sz="0" w:space="0" w:color="auto"/>
            <w:right w:val="none" w:sz="0" w:space="0" w:color="auto"/>
          </w:divBdr>
        </w:div>
        <w:div w:id="1655454002">
          <w:marLeft w:val="0"/>
          <w:marRight w:val="0"/>
          <w:marTop w:val="0"/>
          <w:marBottom w:val="0"/>
          <w:divBdr>
            <w:top w:val="none" w:sz="0" w:space="0" w:color="auto"/>
            <w:left w:val="none" w:sz="0" w:space="0" w:color="auto"/>
            <w:bottom w:val="none" w:sz="0" w:space="0" w:color="auto"/>
            <w:right w:val="none" w:sz="0" w:space="0" w:color="auto"/>
          </w:divBdr>
        </w:div>
        <w:div w:id="988943168">
          <w:marLeft w:val="0"/>
          <w:marRight w:val="0"/>
          <w:marTop w:val="0"/>
          <w:marBottom w:val="0"/>
          <w:divBdr>
            <w:top w:val="none" w:sz="0" w:space="0" w:color="auto"/>
            <w:left w:val="none" w:sz="0" w:space="0" w:color="auto"/>
            <w:bottom w:val="none" w:sz="0" w:space="0" w:color="auto"/>
            <w:right w:val="none" w:sz="0" w:space="0" w:color="auto"/>
          </w:divBdr>
        </w:div>
        <w:div w:id="2108696784">
          <w:marLeft w:val="0"/>
          <w:marRight w:val="0"/>
          <w:marTop w:val="0"/>
          <w:marBottom w:val="0"/>
          <w:divBdr>
            <w:top w:val="none" w:sz="0" w:space="0" w:color="auto"/>
            <w:left w:val="none" w:sz="0" w:space="0" w:color="auto"/>
            <w:bottom w:val="none" w:sz="0" w:space="0" w:color="auto"/>
            <w:right w:val="none" w:sz="0" w:space="0" w:color="auto"/>
          </w:divBdr>
        </w:div>
        <w:div w:id="1449078916">
          <w:marLeft w:val="0"/>
          <w:marRight w:val="0"/>
          <w:marTop w:val="0"/>
          <w:marBottom w:val="0"/>
          <w:divBdr>
            <w:top w:val="none" w:sz="0" w:space="0" w:color="auto"/>
            <w:left w:val="none" w:sz="0" w:space="0" w:color="auto"/>
            <w:bottom w:val="none" w:sz="0" w:space="0" w:color="auto"/>
            <w:right w:val="none" w:sz="0" w:space="0" w:color="auto"/>
          </w:divBdr>
        </w:div>
        <w:div w:id="1278952740">
          <w:marLeft w:val="0"/>
          <w:marRight w:val="0"/>
          <w:marTop w:val="0"/>
          <w:marBottom w:val="0"/>
          <w:divBdr>
            <w:top w:val="none" w:sz="0" w:space="0" w:color="auto"/>
            <w:left w:val="none" w:sz="0" w:space="0" w:color="auto"/>
            <w:bottom w:val="none" w:sz="0" w:space="0" w:color="auto"/>
            <w:right w:val="none" w:sz="0" w:space="0" w:color="auto"/>
          </w:divBdr>
        </w:div>
        <w:div w:id="306478700">
          <w:marLeft w:val="0"/>
          <w:marRight w:val="0"/>
          <w:marTop w:val="0"/>
          <w:marBottom w:val="0"/>
          <w:divBdr>
            <w:top w:val="none" w:sz="0" w:space="0" w:color="auto"/>
            <w:left w:val="none" w:sz="0" w:space="0" w:color="auto"/>
            <w:bottom w:val="none" w:sz="0" w:space="0" w:color="auto"/>
            <w:right w:val="none" w:sz="0" w:space="0" w:color="auto"/>
          </w:divBdr>
        </w:div>
        <w:div w:id="445976250">
          <w:marLeft w:val="0"/>
          <w:marRight w:val="0"/>
          <w:marTop w:val="0"/>
          <w:marBottom w:val="0"/>
          <w:divBdr>
            <w:top w:val="none" w:sz="0" w:space="0" w:color="auto"/>
            <w:left w:val="none" w:sz="0" w:space="0" w:color="auto"/>
            <w:bottom w:val="none" w:sz="0" w:space="0" w:color="auto"/>
            <w:right w:val="none" w:sz="0" w:space="0" w:color="auto"/>
          </w:divBdr>
        </w:div>
        <w:div w:id="2001736257">
          <w:marLeft w:val="0"/>
          <w:marRight w:val="0"/>
          <w:marTop w:val="0"/>
          <w:marBottom w:val="0"/>
          <w:divBdr>
            <w:top w:val="none" w:sz="0" w:space="0" w:color="auto"/>
            <w:left w:val="none" w:sz="0" w:space="0" w:color="auto"/>
            <w:bottom w:val="none" w:sz="0" w:space="0" w:color="auto"/>
            <w:right w:val="none" w:sz="0" w:space="0" w:color="auto"/>
          </w:divBdr>
        </w:div>
        <w:div w:id="1732997131">
          <w:marLeft w:val="0"/>
          <w:marRight w:val="0"/>
          <w:marTop w:val="0"/>
          <w:marBottom w:val="0"/>
          <w:divBdr>
            <w:top w:val="none" w:sz="0" w:space="0" w:color="auto"/>
            <w:left w:val="none" w:sz="0" w:space="0" w:color="auto"/>
            <w:bottom w:val="none" w:sz="0" w:space="0" w:color="auto"/>
            <w:right w:val="none" w:sz="0" w:space="0" w:color="auto"/>
          </w:divBdr>
        </w:div>
        <w:div w:id="100029388">
          <w:marLeft w:val="0"/>
          <w:marRight w:val="0"/>
          <w:marTop w:val="0"/>
          <w:marBottom w:val="0"/>
          <w:divBdr>
            <w:top w:val="none" w:sz="0" w:space="0" w:color="auto"/>
            <w:left w:val="none" w:sz="0" w:space="0" w:color="auto"/>
            <w:bottom w:val="none" w:sz="0" w:space="0" w:color="auto"/>
            <w:right w:val="none" w:sz="0" w:space="0" w:color="auto"/>
          </w:divBdr>
        </w:div>
        <w:div w:id="1519613245">
          <w:marLeft w:val="0"/>
          <w:marRight w:val="0"/>
          <w:marTop w:val="0"/>
          <w:marBottom w:val="0"/>
          <w:divBdr>
            <w:top w:val="none" w:sz="0" w:space="0" w:color="auto"/>
            <w:left w:val="none" w:sz="0" w:space="0" w:color="auto"/>
            <w:bottom w:val="none" w:sz="0" w:space="0" w:color="auto"/>
            <w:right w:val="none" w:sz="0" w:space="0" w:color="auto"/>
          </w:divBdr>
        </w:div>
        <w:div w:id="1192112151">
          <w:marLeft w:val="0"/>
          <w:marRight w:val="0"/>
          <w:marTop w:val="0"/>
          <w:marBottom w:val="0"/>
          <w:divBdr>
            <w:top w:val="none" w:sz="0" w:space="0" w:color="auto"/>
            <w:left w:val="none" w:sz="0" w:space="0" w:color="auto"/>
            <w:bottom w:val="none" w:sz="0" w:space="0" w:color="auto"/>
            <w:right w:val="none" w:sz="0" w:space="0" w:color="auto"/>
          </w:divBdr>
        </w:div>
        <w:div w:id="176314595">
          <w:marLeft w:val="0"/>
          <w:marRight w:val="0"/>
          <w:marTop w:val="0"/>
          <w:marBottom w:val="0"/>
          <w:divBdr>
            <w:top w:val="none" w:sz="0" w:space="0" w:color="auto"/>
            <w:left w:val="none" w:sz="0" w:space="0" w:color="auto"/>
            <w:bottom w:val="none" w:sz="0" w:space="0" w:color="auto"/>
            <w:right w:val="none" w:sz="0" w:space="0" w:color="auto"/>
          </w:divBdr>
        </w:div>
        <w:div w:id="254552832">
          <w:marLeft w:val="0"/>
          <w:marRight w:val="0"/>
          <w:marTop w:val="0"/>
          <w:marBottom w:val="0"/>
          <w:divBdr>
            <w:top w:val="none" w:sz="0" w:space="0" w:color="auto"/>
            <w:left w:val="none" w:sz="0" w:space="0" w:color="auto"/>
            <w:bottom w:val="none" w:sz="0" w:space="0" w:color="auto"/>
            <w:right w:val="none" w:sz="0" w:space="0" w:color="auto"/>
          </w:divBdr>
        </w:div>
        <w:div w:id="646016498">
          <w:marLeft w:val="0"/>
          <w:marRight w:val="0"/>
          <w:marTop w:val="0"/>
          <w:marBottom w:val="0"/>
          <w:divBdr>
            <w:top w:val="none" w:sz="0" w:space="0" w:color="auto"/>
            <w:left w:val="none" w:sz="0" w:space="0" w:color="auto"/>
            <w:bottom w:val="none" w:sz="0" w:space="0" w:color="auto"/>
            <w:right w:val="none" w:sz="0" w:space="0" w:color="auto"/>
          </w:divBdr>
        </w:div>
        <w:div w:id="159582888">
          <w:marLeft w:val="0"/>
          <w:marRight w:val="0"/>
          <w:marTop w:val="0"/>
          <w:marBottom w:val="0"/>
          <w:divBdr>
            <w:top w:val="none" w:sz="0" w:space="0" w:color="auto"/>
            <w:left w:val="none" w:sz="0" w:space="0" w:color="auto"/>
            <w:bottom w:val="none" w:sz="0" w:space="0" w:color="auto"/>
            <w:right w:val="none" w:sz="0" w:space="0" w:color="auto"/>
          </w:divBdr>
        </w:div>
        <w:div w:id="1722630844">
          <w:marLeft w:val="0"/>
          <w:marRight w:val="0"/>
          <w:marTop w:val="0"/>
          <w:marBottom w:val="0"/>
          <w:divBdr>
            <w:top w:val="none" w:sz="0" w:space="0" w:color="auto"/>
            <w:left w:val="none" w:sz="0" w:space="0" w:color="auto"/>
            <w:bottom w:val="none" w:sz="0" w:space="0" w:color="auto"/>
            <w:right w:val="none" w:sz="0" w:space="0" w:color="auto"/>
          </w:divBdr>
        </w:div>
        <w:div w:id="1282030522">
          <w:marLeft w:val="0"/>
          <w:marRight w:val="0"/>
          <w:marTop w:val="0"/>
          <w:marBottom w:val="0"/>
          <w:divBdr>
            <w:top w:val="none" w:sz="0" w:space="0" w:color="auto"/>
            <w:left w:val="none" w:sz="0" w:space="0" w:color="auto"/>
            <w:bottom w:val="none" w:sz="0" w:space="0" w:color="auto"/>
            <w:right w:val="none" w:sz="0" w:space="0" w:color="auto"/>
          </w:divBdr>
        </w:div>
        <w:div w:id="1582716845">
          <w:marLeft w:val="0"/>
          <w:marRight w:val="0"/>
          <w:marTop w:val="0"/>
          <w:marBottom w:val="0"/>
          <w:divBdr>
            <w:top w:val="none" w:sz="0" w:space="0" w:color="auto"/>
            <w:left w:val="none" w:sz="0" w:space="0" w:color="auto"/>
            <w:bottom w:val="none" w:sz="0" w:space="0" w:color="auto"/>
            <w:right w:val="none" w:sz="0" w:space="0" w:color="auto"/>
          </w:divBdr>
        </w:div>
        <w:div w:id="473909258">
          <w:marLeft w:val="0"/>
          <w:marRight w:val="0"/>
          <w:marTop w:val="0"/>
          <w:marBottom w:val="0"/>
          <w:divBdr>
            <w:top w:val="none" w:sz="0" w:space="0" w:color="auto"/>
            <w:left w:val="none" w:sz="0" w:space="0" w:color="auto"/>
            <w:bottom w:val="none" w:sz="0" w:space="0" w:color="auto"/>
            <w:right w:val="none" w:sz="0" w:space="0" w:color="auto"/>
          </w:divBdr>
        </w:div>
        <w:div w:id="1204633180">
          <w:marLeft w:val="0"/>
          <w:marRight w:val="0"/>
          <w:marTop w:val="0"/>
          <w:marBottom w:val="0"/>
          <w:divBdr>
            <w:top w:val="none" w:sz="0" w:space="0" w:color="auto"/>
            <w:left w:val="none" w:sz="0" w:space="0" w:color="auto"/>
            <w:bottom w:val="none" w:sz="0" w:space="0" w:color="auto"/>
            <w:right w:val="none" w:sz="0" w:space="0" w:color="auto"/>
          </w:divBdr>
        </w:div>
        <w:div w:id="1626497696">
          <w:marLeft w:val="0"/>
          <w:marRight w:val="0"/>
          <w:marTop w:val="0"/>
          <w:marBottom w:val="0"/>
          <w:divBdr>
            <w:top w:val="none" w:sz="0" w:space="0" w:color="auto"/>
            <w:left w:val="none" w:sz="0" w:space="0" w:color="auto"/>
            <w:bottom w:val="none" w:sz="0" w:space="0" w:color="auto"/>
            <w:right w:val="none" w:sz="0" w:space="0" w:color="auto"/>
          </w:divBdr>
        </w:div>
        <w:div w:id="846797547">
          <w:marLeft w:val="0"/>
          <w:marRight w:val="0"/>
          <w:marTop w:val="0"/>
          <w:marBottom w:val="0"/>
          <w:divBdr>
            <w:top w:val="none" w:sz="0" w:space="0" w:color="auto"/>
            <w:left w:val="none" w:sz="0" w:space="0" w:color="auto"/>
            <w:bottom w:val="none" w:sz="0" w:space="0" w:color="auto"/>
            <w:right w:val="none" w:sz="0" w:space="0" w:color="auto"/>
          </w:divBdr>
        </w:div>
        <w:div w:id="930622531">
          <w:marLeft w:val="0"/>
          <w:marRight w:val="0"/>
          <w:marTop w:val="0"/>
          <w:marBottom w:val="0"/>
          <w:divBdr>
            <w:top w:val="none" w:sz="0" w:space="0" w:color="auto"/>
            <w:left w:val="none" w:sz="0" w:space="0" w:color="auto"/>
            <w:bottom w:val="none" w:sz="0" w:space="0" w:color="auto"/>
            <w:right w:val="none" w:sz="0" w:space="0" w:color="auto"/>
          </w:divBdr>
        </w:div>
        <w:div w:id="361244078">
          <w:marLeft w:val="0"/>
          <w:marRight w:val="0"/>
          <w:marTop w:val="0"/>
          <w:marBottom w:val="0"/>
          <w:divBdr>
            <w:top w:val="none" w:sz="0" w:space="0" w:color="auto"/>
            <w:left w:val="none" w:sz="0" w:space="0" w:color="auto"/>
            <w:bottom w:val="none" w:sz="0" w:space="0" w:color="auto"/>
            <w:right w:val="none" w:sz="0" w:space="0" w:color="auto"/>
          </w:divBdr>
        </w:div>
        <w:div w:id="517819355">
          <w:marLeft w:val="0"/>
          <w:marRight w:val="0"/>
          <w:marTop w:val="0"/>
          <w:marBottom w:val="0"/>
          <w:divBdr>
            <w:top w:val="none" w:sz="0" w:space="0" w:color="auto"/>
            <w:left w:val="none" w:sz="0" w:space="0" w:color="auto"/>
            <w:bottom w:val="none" w:sz="0" w:space="0" w:color="auto"/>
            <w:right w:val="none" w:sz="0" w:space="0" w:color="auto"/>
          </w:divBdr>
        </w:div>
        <w:div w:id="755055674">
          <w:marLeft w:val="0"/>
          <w:marRight w:val="0"/>
          <w:marTop w:val="0"/>
          <w:marBottom w:val="0"/>
          <w:divBdr>
            <w:top w:val="none" w:sz="0" w:space="0" w:color="auto"/>
            <w:left w:val="none" w:sz="0" w:space="0" w:color="auto"/>
            <w:bottom w:val="none" w:sz="0" w:space="0" w:color="auto"/>
            <w:right w:val="none" w:sz="0" w:space="0" w:color="auto"/>
          </w:divBdr>
        </w:div>
        <w:div w:id="428042259">
          <w:marLeft w:val="0"/>
          <w:marRight w:val="0"/>
          <w:marTop w:val="0"/>
          <w:marBottom w:val="0"/>
          <w:divBdr>
            <w:top w:val="none" w:sz="0" w:space="0" w:color="auto"/>
            <w:left w:val="none" w:sz="0" w:space="0" w:color="auto"/>
            <w:bottom w:val="none" w:sz="0" w:space="0" w:color="auto"/>
            <w:right w:val="none" w:sz="0" w:space="0" w:color="auto"/>
          </w:divBdr>
        </w:div>
      </w:divsChild>
    </w:div>
    <w:div w:id="1145465765">
      <w:bodyDiv w:val="1"/>
      <w:marLeft w:val="0"/>
      <w:marRight w:val="0"/>
      <w:marTop w:val="0"/>
      <w:marBottom w:val="0"/>
      <w:divBdr>
        <w:top w:val="none" w:sz="0" w:space="0" w:color="auto"/>
        <w:left w:val="none" w:sz="0" w:space="0" w:color="auto"/>
        <w:bottom w:val="none" w:sz="0" w:space="0" w:color="auto"/>
        <w:right w:val="none" w:sz="0" w:space="0" w:color="auto"/>
      </w:divBdr>
    </w:div>
    <w:div w:id="1179926064">
      <w:bodyDiv w:val="1"/>
      <w:marLeft w:val="0"/>
      <w:marRight w:val="0"/>
      <w:marTop w:val="0"/>
      <w:marBottom w:val="0"/>
      <w:divBdr>
        <w:top w:val="none" w:sz="0" w:space="0" w:color="auto"/>
        <w:left w:val="none" w:sz="0" w:space="0" w:color="auto"/>
        <w:bottom w:val="none" w:sz="0" w:space="0" w:color="auto"/>
        <w:right w:val="none" w:sz="0" w:space="0" w:color="auto"/>
      </w:divBdr>
      <w:divsChild>
        <w:div w:id="977882197">
          <w:marLeft w:val="0"/>
          <w:marRight w:val="0"/>
          <w:marTop w:val="0"/>
          <w:marBottom w:val="0"/>
          <w:divBdr>
            <w:top w:val="none" w:sz="0" w:space="0" w:color="auto"/>
            <w:left w:val="none" w:sz="0" w:space="0" w:color="auto"/>
            <w:bottom w:val="none" w:sz="0" w:space="0" w:color="auto"/>
            <w:right w:val="none" w:sz="0" w:space="0" w:color="auto"/>
          </w:divBdr>
        </w:div>
        <w:div w:id="1958638583">
          <w:marLeft w:val="0"/>
          <w:marRight w:val="0"/>
          <w:marTop w:val="0"/>
          <w:marBottom w:val="0"/>
          <w:divBdr>
            <w:top w:val="none" w:sz="0" w:space="0" w:color="auto"/>
            <w:left w:val="none" w:sz="0" w:space="0" w:color="auto"/>
            <w:bottom w:val="none" w:sz="0" w:space="0" w:color="auto"/>
            <w:right w:val="none" w:sz="0" w:space="0" w:color="auto"/>
          </w:divBdr>
        </w:div>
        <w:div w:id="1650478800">
          <w:marLeft w:val="0"/>
          <w:marRight w:val="0"/>
          <w:marTop w:val="0"/>
          <w:marBottom w:val="0"/>
          <w:divBdr>
            <w:top w:val="none" w:sz="0" w:space="0" w:color="auto"/>
            <w:left w:val="none" w:sz="0" w:space="0" w:color="auto"/>
            <w:bottom w:val="none" w:sz="0" w:space="0" w:color="auto"/>
            <w:right w:val="none" w:sz="0" w:space="0" w:color="auto"/>
          </w:divBdr>
        </w:div>
        <w:div w:id="455373899">
          <w:marLeft w:val="0"/>
          <w:marRight w:val="0"/>
          <w:marTop w:val="0"/>
          <w:marBottom w:val="0"/>
          <w:divBdr>
            <w:top w:val="none" w:sz="0" w:space="0" w:color="auto"/>
            <w:left w:val="none" w:sz="0" w:space="0" w:color="auto"/>
            <w:bottom w:val="none" w:sz="0" w:space="0" w:color="auto"/>
            <w:right w:val="none" w:sz="0" w:space="0" w:color="auto"/>
          </w:divBdr>
        </w:div>
        <w:div w:id="269972616">
          <w:marLeft w:val="0"/>
          <w:marRight w:val="0"/>
          <w:marTop w:val="0"/>
          <w:marBottom w:val="0"/>
          <w:divBdr>
            <w:top w:val="none" w:sz="0" w:space="0" w:color="auto"/>
            <w:left w:val="none" w:sz="0" w:space="0" w:color="auto"/>
            <w:bottom w:val="none" w:sz="0" w:space="0" w:color="auto"/>
            <w:right w:val="none" w:sz="0" w:space="0" w:color="auto"/>
          </w:divBdr>
        </w:div>
        <w:div w:id="917246364">
          <w:marLeft w:val="0"/>
          <w:marRight w:val="0"/>
          <w:marTop w:val="0"/>
          <w:marBottom w:val="0"/>
          <w:divBdr>
            <w:top w:val="none" w:sz="0" w:space="0" w:color="auto"/>
            <w:left w:val="none" w:sz="0" w:space="0" w:color="auto"/>
            <w:bottom w:val="none" w:sz="0" w:space="0" w:color="auto"/>
            <w:right w:val="none" w:sz="0" w:space="0" w:color="auto"/>
          </w:divBdr>
        </w:div>
        <w:div w:id="322396815">
          <w:marLeft w:val="0"/>
          <w:marRight w:val="0"/>
          <w:marTop w:val="0"/>
          <w:marBottom w:val="0"/>
          <w:divBdr>
            <w:top w:val="none" w:sz="0" w:space="0" w:color="auto"/>
            <w:left w:val="none" w:sz="0" w:space="0" w:color="auto"/>
            <w:bottom w:val="none" w:sz="0" w:space="0" w:color="auto"/>
            <w:right w:val="none" w:sz="0" w:space="0" w:color="auto"/>
          </w:divBdr>
        </w:div>
        <w:div w:id="918367826">
          <w:marLeft w:val="0"/>
          <w:marRight w:val="0"/>
          <w:marTop w:val="0"/>
          <w:marBottom w:val="0"/>
          <w:divBdr>
            <w:top w:val="none" w:sz="0" w:space="0" w:color="auto"/>
            <w:left w:val="none" w:sz="0" w:space="0" w:color="auto"/>
            <w:bottom w:val="none" w:sz="0" w:space="0" w:color="auto"/>
            <w:right w:val="none" w:sz="0" w:space="0" w:color="auto"/>
          </w:divBdr>
        </w:div>
        <w:div w:id="113402654">
          <w:marLeft w:val="0"/>
          <w:marRight w:val="0"/>
          <w:marTop w:val="0"/>
          <w:marBottom w:val="0"/>
          <w:divBdr>
            <w:top w:val="none" w:sz="0" w:space="0" w:color="auto"/>
            <w:left w:val="none" w:sz="0" w:space="0" w:color="auto"/>
            <w:bottom w:val="none" w:sz="0" w:space="0" w:color="auto"/>
            <w:right w:val="none" w:sz="0" w:space="0" w:color="auto"/>
          </w:divBdr>
        </w:div>
        <w:div w:id="437718158">
          <w:marLeft w:val="0"/>
          <w:marRight w:val="0"/>
          <w:marTop w:val="0"/>
          <w:marBottom w:val="0"/>
          <w:divBdr>
            <w:top w:val="none" w:sz="0" w:space="0" w:color="auto"/>
            <w:left w:val="none" w:sz="0" w:space="0" w:color="auto"/>
            <w:bottom w:val="none" w:sz="0" w:space="0" w:color="auto"/>
            <w:right w:val="none" w:sz="0" w:space="0" w:color="auto"/>
          </w:divBdr>
        </w:div>
        <w:div w:id="772363980">
          <w:marLeft w:val="0"/>
          <w:marRight w:val="0"/>
          <w:marTop w:val="0"/>
          <w:marBottom w:val="0"/>
          <w:divBdr>
            <w:top w:val="none" w:sz="0" w:space="0" w:color="auto"/>
            <w:left w:val="none" w:sz="0" w:space="0" w:color="auto"/>
            <w:bottom w:val="none" w:sz="0" w:space="0" w:color="auto"/>
            <w:right w:val="none" w:sz="0" w:space="0" w:color="auto"/>
          </w:divBdr>
        </w:div>
        <w:div w:id="1937398903">
          <w:marLeft w:val="0"/>
          <w:marRight w:val="0"/>
          <w:marTop w:val="0"/>
          <w:marBottom w:val="0"/>
          <w:divBdr>
            <w:top w:val="none" w:sz="0" w:space="0" w:color="auto"/>
            <w:left w:val="none" w:sz="0" w:space="0" w:color="auto"/>
            <w:bottom w:val="none" w:sz="0" w:space="0" w:color="auto"/>
            <w:right w:val="none" w:sz="0" w:space="0" w:color="auto"/>
          </w:divBdr>
        </w:div>
        <w:div w:id="1927882391">
          <w:marLeft w:val="0"/>
          <w:marRight w:val="0"/>
          <w:marTop w:val="0"/>
          <w:marBottom w:val="0"/>
          <w:divBdr>
            <w:top w:val="none" w:sz="0" w:space="0" w:color="auto"/>
            <w:left w:val="none" w:sz="0" w:space="0" w:color="auto"/>
            <w:bottom w:val="none" w:sz="0" w:space="0" w:color="auto"/>
            <w:right w:val="none" w:sz="0" w:space="0" w:color="auto"/>
          </w:divBdr>
        </w:div>
        <w:div w:id="135490459">
          <w:marLeft w:val="0"/>
          <w:marRight w:val="0"/>
          <w:marTop w:val="0"/>
          <w:marBottom w:val="0"/>
          <w:divBdr>
            <w:top w:val="none" w:sz="0" w:space="0" w:color="auto"/>
            <w:left w:val="none" w:sz="0" w:space="0" w:color="auto"/>
            <w:bottom w:val="none" w:sz="0" w:space="0" w:color="auto"/>
            <w:right w:val="none" w:sz="0" w:space="0" w:color="auto"/>
          </w:divBdr>
        </w:div>
        <w:div w:id="1296987735">
          <w:marLeft w:val="0"/>
          <w:marRight w:val="0"/>
          <w:marTop w:val="0"/>
          <w:marBottom w:val="0"/>
          <w:divBdr>
            <w:top w:val="none" w:sz="0" w:space="0" w:color="auto"/>
            <w:left w:val="none" w:sz="0" w:space="0" w:color="auto"/>
            <w:bottom w:val="none" w:sz="0" w:space="0" w:color="auto"/>
            <w:right w:val="none" w:sz="0" w:space="0" w:color="auto"/>
          </w:divBdr>
        </w:div>
        <w:div w:id="14728918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956057939">
          <w:marLeft w:val="0"/>
          <w:marRight w:val="0"/>
          <w:marTop w:val="0"/>
          <w:marBottom w:val="0"/>
          <w:divBdr>
            <w:top w:val="none" w:sz="0" w:space="0" w:color="auto"/>
            <w:left w:val="none" w:sz="0" w:space="0" w:color="auto"/>
            <w:bottom w:val="none" w:sz="0" w:space="0" w:color="auto"/>
            <w:right w:val="none" w:sz="0" w:space="0" w:color="auto"/>
          </w:divBdr>
        </w:div>
        <w:div w:id="1787504756">
          <w:marLeft w:val="0"/>
          <w:marRight w:val="0"/>
          <w:marTop w:val="0"/>
          <w:marBottom w:val="0"/>
          <w:divBdr>
            <w:top w:val="none" w:sz="0" w:space="0" w:color="auto"/>
            <w:left w:val="none" w:sz="0" w:space="0" w:color="auto"/>
            <w:bottom w:val="none" w:sz="0" w:space="0" w:color="auto"/>
            <w:right w:val="none" w:sz="0" w:space="0" w:color="auto"/>
          </w:divBdr>
        </w:div>
        <w:div w:id="131755798">
          <w:marLeft w:val="0"/>
          <w:marRight w:val="0"/>
          <w:marTop w:val="0"/>
          <w:marBottom w:val="0"/>
          <w:divBdr>
            <w:top w:val="none" w:sz="0" w:space="0" w:color="auto"/>
            <w:left w:val="none" w:sz="0" w:space="0" w:color="auto"/>
            <w:bottom w:val="none" w:sz="0" w:space="0" w:color="auto"/>
            <w:right w:val="none" w:sz="0" w:space="0" w:color="auto"/>
          </w:divBdr>
        </w:div>
        <w:div w:id="1532063376">
          <w:marLeft w:val="0"/>
          <w:marRight w:val="0"/>
          <w:marTop w:val="0"/>
          <w:marBottom w:val="0"/>
          <w:divBdr>
            <w:top w:val="none" w:sz="0" w:space="0" w:color="auto"/>
            <w:left w:val="none" w:sz="0" w:space="0" w:color="auto"/>
            <w:bottom w:val="none" w:sz="0" w:space="0" w:color="auto"/>
            <w:right w:val="none" w:sz="0" w:space="0" w:color="auto"/>
          </w:divBdr>
        </w:div>
        <w:div w:id="1171529712">
          <w:marLeft w:val="0"/>
          <w:marRight w:val="0"/>
          <w:marTop w:val="0"/>
          <w:marBottom w:val="0"/>
          <w:divBdr>
            <w:top w:val="none" w:sz="0" w:space="0" w:color="auto"/>
            <w:left w:val="none" w:sz="0" w:space="0" w:color="auto"/>
            <w:bottom w:val="none" w:sz="0" w:space="0" w:color="auto"/>
            <w:right w:val="none" w:sz="0" w:space="0" w:color="auto"/>
          </w:divBdr>
        </w:div>
        <w:div w:id="1193226964">
          <w:marLeft w:val="0"/>
          <w:marRight w:val="0"/>
          <w:marTop w:val="0"/>
          <w:marBottom w:val="0"/>
          <w:divBdr>
            <w:top w:val="none" w:sz="0" w:space="0" w:color="auto"/>
            <w:left w:val="none" w:sz="0" w:space="0" w:color="auto"/>
            <w:bottom w:val="none" w:sz="0" w:space="0" w:color="auto"/>
            <w:right w:val="none" w:sz="0" w:space="0" w:color="auto"/>
          </w:divBdr>
        </w:div>
        <w:div w:id="302125538">
          <w:marLeft w:val="0"/>
          <w:marRight w:val="0"/>
          <w:marTop w:val="0"/>
          <w:marBottom w:val="0"/>
          <w:divBdr>
            <w:top w:val="none" w:sz="0" w:space="0" w:color="auto"/>
            <w:left w:val="none" w:sz="0" w:space="0" w:color="auto"/>
            <w:bottom w:val="none" w:sz="0" w:space="0" w:color="auto"/>
            <w:right w:val="none" w:sz="0" w:space="0" w:color="auto"/>
          </w:divBdr>
        </w:div>
        <w:div w:id="379404528">
          <w:marLeft w:val="0"/>
          <w:marRight w:val="0"/>
          <w:marTop w:val="0"/>
          <w:marBottom w:val="0"/>
          <w:divBdr>
            <w:top w:val="none" w:sz="0" w:space="0" w:color="auto"/>
            <w:left w:val="none" w:sz="0" w:space="0" w:color="auto"/>
            <w:bottom w:val="none" w:sz="0" w:space="0" w:color="auto"/>
            <w:right w:val="none" w:sz="0" w:space="0" w:color="auto"/>
          </w:divBdr>
        </w:div>
        <w:div w:id="1552955698">
          <w:marLeft w:val="0"/>
          <w:marRight w:val="0"/>
          <w:marTop w:val="0"/>
          <w:marBottom w:val="0"/>
          <w:divBdr>
            <w:top w:val="none" w:sz="0" w:space="0" w:color="auto"/>
            <w:left w:val="none" w:sz="0" w:space="0" w:color="auto"/>
            <w:bottom w:val="none" w:sz="0" w:space="0" w:color="auto"/>
            <w:right w:val="none" w:sz="0" w:space="0" w:color="auto"/>
          </w:divBdr>
        </w:div>
        <w:div w:id="1530995977">
          <w:marLeft w:val="0"/>
          <w:marRight w:val="0"/>
          <w:marTop w:val="0"/>
          <w:marBottom w:val="0"/>
          <w:divBdr>
            <w:top w:val="none" w:sz="0" w:space="0" w:color="auto"/>
            <w:left w:val="none" w:sz="0" w:space="0" w:color="auto"/>
            <w:bottom w:val="none" w:sz="0" w:space="0" w:color="auto"/>
            <w:right w:val="none" w:sz="0" w:space="0" w:color="auto"/>
          </w:divBdr>
        </w:div>
        <w:div w:id="1766994663">
          <w:marLeft w:val="0"/>
          <w:marRight w:val="0"/>
          <w:marTop w:val="0"/>
          <w:marBottom w:val="0"/>
          <w:divBdr>
            <w:top w:val="none" w:sz="0" w:space="0" w:color="auto"/>
            <w:left w:val="none" w:sz="0" w:space="0" w:color="auto"/>
            <w:bottom w:val="none" w:sz="0" w:space="0" w:color="auto"/>
            <w:right w:val="none" w:sz="0" w:space="0" w:color="auto"/>
          </w:divBdr>
        </w:div>
        <w:div w:id="1480995892">
          <w:marLeft w:val="0"/>
          <w:marRight w:val="0"/>
          <w:marTop w:val="0"/>
          <w:marBottom w:val="0"/>
          <w:divBdr>
            <w:top w:val="none" w:sz="0" w:space="0" w:color="auto"/>
            <w:left w:val="none" w:sz="0" w:space="0" w:color="auto"/>
            <w:bottom w:val="none" w:sz="0" w:space="0" w:color="auto"/>
            <w:right w:val="none" w:sz="0" w:space="0" w:color="auto"/>
          </w:divBdr>
        </w:div>
      </w:divsChild>
    </w:div>
    <w:div w:id="1189217872">
      <w:bodyDiv w:val="1"/>
      <w:marLeft w:val="0"/>
      <w:marRight w:val="0"/>
      <w:marTop w:val="0"/>
      <w:marBottom w:val="0"/>
      <w:divBdr>
        <w:top w:val="none" w:sz="0" w:space="0" w:color="auto"/>
        <w:left w:val="none" w:sz="0" w:space="0" w:color="auto"/>
        <w:bottom w:val="none" w:sz="0" w:space="0" w:color="auto"/>
        <w:right w:val="none" w:sz="0" w:space="0" w:color="auto"/>
      </w:divBdr>
      <w:divsChild>
        <w:div w:id="1877887024">
          <w:marLeft w:val="0"/>
          <w:marRight w:val="0"/>
          <w:marTop w:val="0"/>
          <w:marBottom w:val="0"/>
          <w:divBdr>
            <w:top w:val="none" w:sz="0" w:space="0" w:color="auto"/>
            <w:left w:val="none" w:sz="0" w:space="0" w:color="auto"/>
            <w:bottom w:val="none" w:sz="0" w:space="0" w:color="auto"/>
            <w:right w:val="none" w:sz="0" w:space="0" w:color="auto"/>
          </w:divBdr>
        </w:div>
        <w:div w:id="1842432431">
          <w:marLeft w:val="0"/>
          <w:marRight w:val="0"/>
          <w:marTop w:val="0"/>
          <w:marBottom w:val="0"/>
          <w:divBdr>
            <w:top w:val="none" w:sz="0" w:space="0" w:color="auto"/>
            <w:left w:val="none" w:sz="0" w:space="0" w:color="auto"/>
            <w:bottom w:val="none" w:sz="0" w:space="0" w:color="auto"/>
            <w:right w:val="none" w:sz="0" w:space="0" w:color="auto"/>
          </w:divBdr>
        </w:div>
        <w:div w:id="1707372274">
          <w:marLeft w:val="0"/>
          <w:marRight w:val="0"/>
          <w:marTop w:val="0"/>
          <w:marBottom w:val="0"/>
          <w:divBdr>
            <w:top w:val="none" w:sz="0" w:space="0" w:color="auto"/>
            <w:left w:val="none" w:sz="0" w:space="0" w:color="auto"/>
            <w:bottom w:val="none" w:sz="0" w:space="0" w:color="auto"/>
            <w:right w:val="none" w:sz="0" w:space="0" w:color="auto"/>
          </w:divBdr>
        </w:div>
        <w:div w:id="1859083105">
          <w:marLeft w:val="0"/>
          <w:marRight w:val="0"/>
          <w:marTop w:val="0"/>
          <w:marBottom w:val="0"/>
          <w:divBdr>
            <w:top w:val="none" w:sz="0" w:space="0" w:color="auto"/>
            <w:left w:val="none" w:sz="0" w:space="0" w:color="auto"/>
            <w:bottom w:val="none" w:sz="0" w:space="0" w:color="auto"/>
            <w:right w:val="none" w:sz="0" w:space="0" w:color="auto"/>
          </w:divBdr>
        </w:div>
        <w:div w:id="1225918972">
          <w:marLeft w:val="0"/>
          <w:marRight w:val="0"/>
          <w:marTop w:val="0"/>
          <w:marBottom w:val="0"/>
          <w:divBdr>
            <w:top w:val="none" w:sz="0" w:space="0" w:color="auto"/>
            <w:left w:val="none" w:sz="0" w:space="0" w:color="auto"/>
            <w:bottom w:val="none" w:sz="0" w:space="0" w:color="auto"/>
            <w:right w:val="none" w:sz="0" w:space="0" w:color="auto"/>
          </w:divBdr>
        </w:div>
        <w:div w:id="95755960">
          <w:marLeft w:val="0"/>
          <w:marRight w:val="0"/>
          <w:marTop w:val="0"/>
          <w:marBottom w:val="0"/>
          <w:divBdr>
            <w:top w:val="none" w:sz="0" w:space="0" w:color="auto"/>
            <w:left w:val="none" w:sz="0" w:space="0" w:color="auto"/>
            <w:bottom w:val="none" w:sz="0" w:space="0" w:color="auto"/>
            <w:right w:val="none" w:sz="0" w:space="0" w:color="auto"/>
          </w:divBdr>
        </w:div>
        <w:div w:id="383991169">
          <w:marLeft w:val="0"/>
          <w:marRight w:val="0"/>
          <w:marTop w:val="0"/>
          <w:marBottom w:val="0"/>
          <w:divBdr>
            <w:top w:val="none" w:sz="0" w:space="0" w:color="auto"/>
            <w:left w:val="none" w:sz="0" w:space="0" w:color="auto"/>
            <w:bottom w:val="none" w:sz="0" w:space="0" w:color="auto"/>
            <w:right w:val="none" w:sz="0" w:space="0" w:color="auto"/>
          </w:divBdr>
        </w:div>
        <w:div w:id="296499760">
          <w:marLeft w:val="0"/>
          <w:marRight w:val="0"/>
          <w:marTop w:val="0"/>
          <w:marBottom w:val="0"/>
          <w:divBdr>
            <w:top w:val="none" w:sz="0" w:space="0" w:color="auto"/>
            <w:left w:val="none" w:sz="0" w:space="0" w:color="auto"/>
            <w:bottom w:val="none" w:sz="0" w:space="0" w:color="auto"/>
            <w:right w:val="none" w:sz="0" w:space="0" w:color="auto"/>
          </w:divBdr>
        </w:div>
        <w:div w:id="1678000567">
          <w:marLeft w:val="0"/>
          <w:marRight w:val="0"/>
          <w:marTop w:val="0"/>
          <w:marBottom w:val="0"/>
          <w:divBdr>
            <w:top w:val="none" w:sz="0" w:space="0" w:color="auto"/>
            <w:left w:val="none" w:sz="0" w:space="0" w:color="auto"/>
            <w:bottom w:val="none" w:sz="0" w:space="0" w:color="auto"/>
            <w:right w:val="none" w:sz="0" w:space="0" w:color="auto"/>
          </w:divBdr>
        </w:div>
        <w:div w:id="616447285">
          <w:marLeft w:val="0"/>
          <w:marRight w:val="0"/>
          <w:marTop w:val="0"/>
          <w:marBottom w:val="0"/>
          <w:divBdr>
            <w:top w:val="none" w:sz="0" w:space="0" w:color="auto"/>
            <w:left w:val="none" w:sz="0" w:space="0" w:color="auto"/>
            <w:bottom w:val="none" w:sz="0" w:space="0" w:color="auto"/>
            <w:right w:val="none" w:sz="0" w:space="0" w:color="auto"/>
          </w:divBdr>
        </w:div>
      </w:divsChild>
    </w:div>
    <w:div w:id="1477336383">
      <w:bodyDiv w:val="1"/>
      <w:marLeft w:val="0"/>
      <w:marRight w:val="0"/>
      <w:marTop w:val="0"/>
      <w:marBottom w:val="0"/>
      <w:divBdr>
        <w:top w:val="none" w:sz="0" w:space="0" w:color="auto"/>
        <w:left w:val="none" w:sz="0" w:space="0" w:color="auto"/>
        <w:bottom w:val="none" w:sz="0" w:space="0" w:color="auto"/>
        <w:right w:val="none" w:sz="0" w:space="0" w:color="auto"/>
      </w:divBdr>
    </w:div>
    <w:div w:id="1825973384">
      <w:bodyDiv w:val="1"/>
      <w:marLeft w:val="0"/>
      <w:marRight w:val="0"/>
      <w:marTop w:val="0"/>
      <w:marBottom w:val="0"/>
      <w:divBdr>
        <w:top w:val="none" w:sz="0" w:space="0" w:color="auto"/>
        <w:left w:val="none" w:sz="0" w:space="0" w:color="auto"/>
        <w:bottom w:val="none" w:sz="0" w:space="0" w:color="auto"/>
        <w:right w:val="none" w:sz="0" w:space="0" w:color="auto"/>
      </w:divBdr>
    </w:div>
    <w:div w:id="1852603060">
      <w:bodyDiv w:val="1"/>
      <w:marLeft w:val="0"/>
      <w:marRight w:val="0"/>
      <w:marTop w:val="0"/>
      <w:marBottom w:val="0"/>
      <w:divBdr>
        <w:top w:val="none" w:sz="0" w:space="0" w:color="auto"/>
        <w:left w:val="none" w:sz="0" w:space="0" w:color="auto"/>
        <w:bottom w:val="none" w:sz="0" w:space="0" w:color="auto"/>
        <w:right w:val="none" w:sz="0" w:space="0" w:color="auto"/>
      </w:divBdr>
      <w:divsChild>
        <w:div w:id="472715577">
          <w:marLeft w:val="0"/>
          <w:marRight w:val="0"/>
          <w:marTop w:val="0"/>
          <w:marBottom w:val="0"/>
          <w:divBdr>
            <w:top w:val="none" w:sz="0" w:space="0" w:color="auto"/>
            <w:left w:val="none" w:sz="0" w:space="0" w:color="auto"/>
            <w:bottom w:val="none" w:sz="0" w:space="0" w:color="auto"/>
            <w:right w:val="none" w:sz="0" w:space="0" w:color="auto"/>
          </w:divBdr>
        </w:div>
        <w:div w:id="886993778">
          <w:marLeft w:val="0"/>
          <w:marRight w:val="0"/>
          <w:marTop w:val="0"/>
          <w:marBottom w:val="0"/>
          <w:divBdr>
            <w:top w:val="none" w:sz="0" w:space="0" w:color="auto"/>
            <w:left w:val="none" w:sz="0" w:space="0" w:color="auto"/>
            <w:bottom w:val="none" w:sz="0" w:space="0" w:color="auto"/>
            <w:right w:val="none" w:sz="0" w:space="0" w:color="auto"/>
          </w:divBdr>
        </w:div>
        <w:div w:id="359286482">
          <w:marLeft w:val="0"/>
          <w:marRight w:val="0"/>
          <w:marTop w:val="0"/>
          <w:marBottom w:val="0"/>
          <w:divBdr>
            <w:top w:val="none" w:sz="0" w:space="0" w:color="auto"/>
            <w:left w:val="none" w:sz="0" w:space="0" w:color="auto"/>
            <w:bottom w:val="none" w:sz="0" w:space="0" w:color="auto"/>
            <w:right w:val="none" w:sz="0" w:space="0" w:color="auto"/>
          </w:divBdr>
        </w:div>
        <w:div w:id="244920123">
          <w:marLeft w:val="0"/>
          <w:marRight w:val="0"/>
          <w:marTop w:val="0"/>
          <w:marBottom w:val="0"/>
          <w:divBdr>
            <w:top w:val="none" w:sz="0" w:space="0" w:color="auto"/>
            <w:left w:val="none" w:sz="0" w:space="0" w:color="auto"/>
            <w:bottom w:val="none" w:sz="0" w:space="0" w:color="auto"/>
            <w:right w:val="none" w:sz="0" w:space="0" w:color="auto"/>
          </w:divBdr>
        </w:div>
        <w:div w:id="2054767347">
          <w:marLeft w:val="0"/>
          <w:marRight w:val="0"/>
          <w:marTop w:val="0"/>
          <w:marBottom w:val="0"/>
          <w:divBdr>
            <w:top w:val="none" w:sz="0" w:space="0" w:color="auto"/>
            <w:left w:val="none" w:sz="0" w:space="0" w:color="auto"/>
            <w:bottom w:val="none" w:sz="0" w:space="0" w:color="auto"/>
            <w:right w:val="none" w:sz="0" w:space="0" w:color="auto"/>
          </w:divBdr>
        </w:div>
        <w:div w:id="298732589">
          <w:marLeft w:val="0"/>
          <w:marRight w:val="0"/>
          <w:marTop w:val="0"/>
          <w:marBottom w:val="0"/>
          <w:divBdr>
            <w:top w:val="none" w:sz="0" w:space="0" w:color="auto"/>
            <w:left w:val="none" w:sz="0" w:space="0" w:color="auto"/>
            <w:bottom w:val="none" w:sz="0" w:space="0" w:color="auto"/>
            <w:right w:val="none" w:sz="0" w:space="0" w:color="auto"/>
          </w:divBdr>
        </w:div>
        <w:div w:id="2115861631">
          <w:marLeft w:val="0"/>
          <w:marRight w:val="0"/>
          <w:marTop w:val="0"/>
          <w:marBottom w:val="0"/>
          <w:divBdr>
            <w:top w:val="none" w:sz="0" w:space="0" w:color="auto"/>
            <w:left w:val="none" w:sz="0" w:space="0" w:color="auto"/>
            <w:bottom w:val="none" w:sz="0" w:space="0" w:color="auto"/>
            <w:right w:val="none" w:sz="0" w:space="0" w:color="auto"/>
          </w:divBdr>
        </w:div>
        <w:div w:id="1375273643">
          <w:marLeft w:val="0"/>
          <w:marRight w:val="0"/>
          <w:marTop w:val="0"/>
          <w:marBottom w:val="0"/>
          <w:divBdr>
            <w:top w:val="none" w:sz="0" w:space="0" w:color="auto"/>
            <w:left w:val="none" w:sz="0" w:space="0" w:color="auto"/>
            <w:bottom w:val="none" w:sz="0" w:space="0" w:color="auto"/>
            <w:right w:val="none" w:sz="0" w:space="0" w:color="auto"/>
          </w:divBdr>
        </w:div>
        <w:div w:id="1629893608">
          <w:marLeft w:val="0"/>
          <w:marRight w:val="0"/>
          <w:marTop w:val="0"/>
          <w:marBottom w:val="0"/>
          <w:divBdr>
            <w:top w:val="none" w:sz="0" w:space="0" w:color="auto"/>
            <w:left w:val="none" w:sz="0" w:space="0" w:color="auto"/>
            <w:bottom w:val="none" w:sz="0" w:space="0" w:color="auto"/>
            <w:right w:val="none" w:sz="0" w:space="0" w:color="auto"/>
          </w:divBdr>
        </w:div>
        <w:div w:id="1747649995">
          <w:marLeft w:val="0"/>
          <w:marRight w:val="0"/>
          <w:marTop w:val="0"/>
          <w:marBottom w:val="0"/>
          <w:divBdr>
            <w:top w:val="none" w:sz="0" w:space="0" w:color="auto"/>
            <w:left w:val="none" w:sz="0" w:space="0" w:color="auto"/>
            <w:bottom w:val="none" w:sz="0" w:space="0" w:color="auto"/>
            <w:right w:val="none" w:sz="0" w:space="0" w:color="auto"/>
          </w:divBdr>
        </w:div>
        <w:div w:id="1109395914">
          <w:marLeft w:val="0"/>
          <w:marRight w:val="0"/>
          <w:marTop w:val="0"/>
          <w:marBottom w:val="0"/>
          <w:divBdr>
            <w:top w:val="none" w:sz="0" w:space="0" w:color="auto"/>
            <w:left w:val="none" w:sz="0" w:space="0" w:color="auto"/>
            <w:bottom w:val="none" w:sz="0" w:space="0" w:color="auto"/>
            <w:right w:val="none" w:sz="0" w:space="0" w:color="auto"/>
          </w:divBdr>
        </w:div>
        <w:div w:id="361057048">
          <w:marLeft w:val="0"/>
          <w:marRight w:val="0"/>
          <w:marTop w:val="0"/>
          <w:marBottom w:val="0"/>
          <w:divBdr>
            <w:top w:val="none" w:sz="0" w:space="0" w:color="auto"/>
            <w:left w:val="none" w:sz="0" w:space="0" w:color="auto"/>
            <w:bottom w:val="none" w:sz="0" w:space="0" w:color="auto"/>
            <w:right w:val="none" w:sz="0" w:space="0" w:color="auto"/>
          </w:divBdr>
        </w:div>
        <w:div w:id="1665086645">
          <w:marLeft w:val="0"/>
          <w:marRight w:val="0"/>
          <w:marTop w:val="0"/>
          <w:marBottom w:val="0"/>
          <w:divBdr>
            <w:top w:val="none" w:sz="0" w:space="0" w:color="auto"/>
            <w:left w:val="none" w:sz="0" w:space="0" w:color="auto"/>
            <w:bottom w:val="none" w:sz="0" w:space="0" w:color="auto"/>
            <w:right w:val="none" w:sz="0" w:space="0" w:color="auto"/>
          </w:divBdr>
        </w:div>
        <w:div w:id="503325270">
          <w:marLeft w:val="0"/>
          <w:marRight w:val="0"/>
          <w:marTop w:val="0"/>
          <w:marBottom w:val="0"/>
          <w:divBdr>
            <w:top w:val="none" w:sz="0" w:space="0" w:color="auto"/>
            <w:left w:val="none" w:sz="0" w:space="0" w:color="auto"/>
            <w:bottom w:val="none" w:sz="0" w:space="0" w:color="auto"/>
            <w:right w:val="none" w:sz="0" w:space="0" w:color="auto"/>
          </w:divBdr>
        </w:div>
        <w:div w:id="1430007883">
          <w:marLeft w:val="0"/>
          <w:marRight w:val="0"/>
          <w:marTop w:val="0"/>
          <w:marBottom w:val="0"/>
          <w:divBdr>
            <w:top w:val="none" w:sz="0" w:space="0" w:color="auto"/>
            <w:left w:val="none" w:sz="0" w:space="0" w:color="auto"/>
            <w:bottom w:val="none" w:sz="0" w:space="0" w:color="auto"/>
            <w:right w:val="none" w:sz="0" w:space="0" w:color="auto"/>
          </w:divBdr>
        </w:div>
        <w:div w:id="966858225">
          <w:marLeft w:val="0"/>
          <w:marRight w:val="0"/>
          <w:marTop w:val="0"/>
          <w:marBottom w:val="0"/>
          <w:divBdr>
            <w:top w:val="none" w:sz="0" w:space="0" w:color="auto"/>
            <w:left w:val="none" w:sz="0" w:space="0" w:color="auto"/>
            <w:bottom w:val="none" w:sz="0" w:space="0" w:color="auto"/>
            <w:right w:val="none" w:sz="0" w:space="0" w:color="auto"/>
          </w:divBdr>
        </w:div>
        <w:div w:id="1369718712">
          <w:marLeft w:val="0"/>
          <w:marRight w:val="0"/>
          <w:marTop w:val="0"/>
          <w:marBottom w:val="0"/>
          <w:divBdr>
            <w:top w:val="none" w:sz="0" w:space="0" w:color="auto"/>
            <w:left w:val="none" w:sz="0" w:space="0" w:color="auto"/>
            <w:bottom w:val="none" w:sz="0" w:space="0" w:color="auto"/>
            <w:right w:val="none" w:sz="0" w:space="0" w:color="auto"/>
          </w:divBdr>
        </w:div>
        <w:div w:id="326910780">
          <w:marLeft w:val="0"/>
          <w:marRight w:val="0"/>
          <w:marTop w:val="0"/>
          <w:marBottom w:val="0"/>
          <w:divBdr>
            <w:top w:val="none" w:sz="0" w:space="0" w:color="auto"/>
            <w:left w:val="none" w:sz="0" w:space="0" w:color="auto"/>
            <w:bottom w:val="none" w:sz="0" w:space="0" w:color="auto"/>
            <w:right w:val="none" w:sz="0" w:space="0" w:color="auto"/>
          </w:divBdr>
        </w:div>
        <w:div w:id="1581867464">
          <w:marLeft w:val="0"/>
          <w:marRight w:val="0"/>
          <w:marTop w:val="0"/>
          <w:marBottom w:val="0"/>
          <w:divBdr>
            <w:top w:val="none" w:sz="0" w:space="0" w:color="auto"/>
            <w:left w:val="none" w:sz="0" w:space="0" w:color="auto"/>
            <w:bottom w:val="none" w:sz="0" w:space="0" w:color="auto"/>
            <w:right w:val="none" w:sz="0" w:space="0" w:color="auto"/>
          </w:divBdr>
        </w:div>
        <w:div w:id="1687825797">
          <w:marLeft w:val="0"/>
          <w:marRight w:val="0"/>
          <w:marTop w:val="0"/>
          <w:marBottom w:val="0"/>
          <w:divBdr>
            <w:top w:val="none" w:sz="0" w:space="0" w:color="auto"/>
            <w:left w:val="none" w:sz="0" w:space="0" w:color="auto"/>
            <w:bottom w:val="none" w:sz="0" w:space="0" w:color="auto"/>
            <w:right w:val="none" w:sz="0" w:space="0" w:color="auto"/>
          </w:divBdr>
        </w:div>
        <w:div w:id="1621717039">
          <w:marLeft w:val="0"/>
          <w:marRight w:val="0"/>
          <w:marTop w:val="0"/>
          <w:marBottom w:val="0"/>
          <w:divBdr>
            <w:top w:val="none" w:sz="0" w:space="0" w:color="auto"/>
            <w:left w:val="none" w:sz="0" w:space="0" w:color="auto"/>
            <w:bottom w:val="none" w:sz="0" w:space="0" w:color="auto"/>
            <w:right w:val="none" w:sz="0" w:space="0" w:color="auto"/>
          </w:divBdr>
        </w:div>
        <w:div w:id="1994992211">
          <w:marLeft w:val="0"/>
          <w:marRight w:val="0"/>
          <w:marTop w:val="0"/>
          <w:marBottom w:val="0"/>
          <w:divBdr>
            <w:top w:val="none" w:sz="0" w:space="0" w:color="auto"/>
            <w:left w:val="none" w:sz="0" w:space="0" w:color="auto"/>
            <w:bottom w:val="none" w:sz="0" w:space="0" w:color="auto"/>
            <w:right w:val="none" w:sz="0" w:space="0" w:color="auto"/>
          </w:divBdr>
        </w:div>
        <w:div w:id="913509980">
          <w:marLeft w:val="0"/>
          <w:marRight w:val="0"/>
          <w:marTop w:val="0"/>
          <w:marBottom w:val="0"/>
          <w:divBdr>
            <w:top w:val="none" w:sz="0" w:space="0" w:color="auto"/>
            <w:left w:val="none" w:sz="0" w:space="0" w:color="auto"/>
            <w:bottom w:val="none" w:sz="0" w:space="0" w:color="auto"/>
            <w:right w:val="none" w:sz="0" w:space="0" w:color="auto"/>
          </w:divBdr>
        </w:div>
        <w:div w:id="1821069890">
          <w:marLeft w:val="0"/>
          <w:marRight w:val="0"/>
          <w:marTop w:val="0"/>
          <w:marBottom w:val="0"/>
          <w:divBdr>
            <w:top w:val="none" w:sz="0" w:space="0" w:color="auto"/>
            <w:left w:val="none" w:sz="0" w:space="0" w:color="auto"/>
            <w:bottom w:val="none" w:sz="0" w:space="0" w:color="auto"/>
            <w:right w:val="none" w:sz="0" w:space="0" w:color="auto"/>
          </w:divBdr>
        </w:div>
        <w:div w:id="1077480678">
          <w:marLeft w:val="0"/>
          <w:marRight w:val="0"/>
          <w:marTop w:val="0"/>
          <w:marBottom w:val="0"/>
          <w:divBdr>
            <w:top w:val="none" w:sz="0" w:space="0" w:color="auto"/>
            <w:left w:val="none" w:sz="0" w:space="0" w:color="auto"/>
            <w:bottom w:val="none" w:sz="0" w:space="0" w:color="auto"/>
            <w:right w:val="none" w:sz="0" w:space="0" w:color="auto"/>
          </w:divBdr>
        </w:div>
      </w:divsChild>
    </w:div>
    <w:div w:id="1878931796">
      <w:bodyDiv w:val="1"/>
      <w:marLeft w:val="0"/>
      <w:marRight w:val="0"/>
      <w:marTop w:val="0"/>
      <w:marBottom w:val="0"/>
      <w:divBdr>
        <w:top w:val="none" w:sz="0" w:space="0" w:color="auto"/>
        <w:left w:val="none" w:sz="0" w:space="0" w:color="auto"/>
        <w:bottom w:val="none" w:sz="0" w:space="0" w:color="auto"/>
        <w:right w:val="none" w:sz="0" w:space="0" w:color="auto"/>
      </w:divBdr>
    </w:div>
    <w:div w:id="203719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rpo.dolnyslask.pl" TargetMode="External"/><Relationship Id="rId4" Type="http://schemas.microsoft.com/office/2007/relationships/stylesWithEffects" Target="stylesWithEffects.xml"/><Relationship Id="rId9" Type="http://schemas.openxmlformats.org/officeDocument/2006/relationships/hyperlink" Target="http://www.rpo.dolnysla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06E4C-3105-47E9-B0B3-5927F5814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4113</Words>
  <Characters>24684</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Gęsiak-Kaniuka</dc:creator>
  <cp:lastModifiedBy>Marta Meyer</cp:lastModifiedBy>
  <cp:revision>2</cp:revision>
  <cp:lastPrinted>2015-12-21T13:49:00Z</cp:lastPrinted>
  <dcterms:created xsi:type="dcterms:W3CDTF">2015-12-21T13:57:00Z</dcterms:created>
  <dcterms:modified xsi:type="dcterms:W3CDTF">2015-12-21T13:57:00Z</dcterms:modified>
</cp:coreProperties>
</file>